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FFC6B" w14:textId="6CEF7163" w:rsidR="00FF14FF" w:rsidRPr="00FF14FF" w:rsidRDefault="00FF14FF" w:rsidP="00FF14FF">
      <w:pPr>
        <w:spacing w:line="480" w:lineRule="auto"/>
        <w:outlineLvl w:val="0"/>
        <w:rPr>
          <w:b/>
          <w:lang w:val="sv-SE"/>
        </w:rPr>
      </w:pPr>
      <w:r>
        <w:rPr>
          <w:b/>
          <w:lang w:val="en-US"/>
        </w:rPr>
        <w:t xml:space="preserve">Please cite as: </w:t>
      </w:r>
      <w:r w:rsidRPr="00FF14FF">
        <w:rPr>
          <w:b/>
          <w:lang w:val="sv-SE"/>
        </w:rPr>
        <w:t>Gössling, S., Choi, A., Dekker, K. and Metzler, D. 2018. The social cost of automobility, cycling and walking in the European Union.</w:t>
      </w:r>
      <w:r>
        <w:rPr>
          <w:b/>
          <w:lang w:val="sv-SE"/>
        </w:rPr>
        <w:t xml:space="preserve"> </w:t>
      </w:r>
      <w:r w:rsidRPr="00FF14FF">
        <w:rPr>
          <w:b/>
          <w:bCs/>
          <w:lang w:val="sv-SE"/>
        </w:rPr>
        <w:t>Ecological Economics</w:t>
      </w:r>
      <w:r>
        <w:rPr>
          <w:b/>
          <w:bCs/>
          <w:lang w:val="sv-SE"/>
        </w:rPr>
        <w:t xml:space="preserve"> 158: 65-74</w:t>
      </w:r>
      <w:r w:rsidRPr="00FF14FF">
        <w:rPr>
          <w:b/>
          <w:lang w:val="sv-SE"/>
        </w:rPr>
        <w:t>, </w:t>
      </w:r>
      <w:hyperlink r:id="rId8" w:tgtFrame="_blank" w:tooltip="Persistent link using digital object identifier" w:history="1">
        <w:r w:rsidRPr="00FF14FF">
          <w:rPr>
            <w:rStyle w:val="Hyperlink"/>
            <w:b/>
            <w:lang w:val="sv-SE"/>
          </w:rPr>
          <w:t>https://doi.org/10.1016/j.ecolecon.2018.12.016</w:t>
        </w:r>
      </w:hyperlink>
    </w:p>
    <w:p w14:paraId="54A32C45" w14:textId="674A15CE" w:rsidR="00FF14FF" w:rsidRDefault="00FF14FF" w:rsidP="00901DF3">
      <w:pPr>
        <w:spacing w:line="480" w:lineRule="auto"/>
        <w:outlineLvl w:val="0"/>
        <w:rPr>
          <w:b/>
          <w:lang w:val="en-US"/>
        </w:rPr>
      </w:pPr>
    </w:p>
    <w:p w14:paraId="46F28B1E" w14:textId="3D9F02E2" w:rsidR="0024579A" w:rsidRDefault="00CE63EF" w:rsidP="00901DF3">
      <w:pPr>
        <w:spacing w:line="480" w:lineRule="auto"/>
        <w:rPr>
          <w:b/>
          <w:lang w:val="en-US"/>
        </w:rPr>
      </w:pPr>
      <w:r>
        <w:rPr>
          <w:b/>
          <w:lang w:val="en-US"/>
        </w:rPr>
        <w:t>Abstract</w:t>
      </w:r>
    </w:p>
    <w:p w14:paraId="183E782A" w14:textId="0A15BB98" w:rsidR="00CE63EF" w:rsidRDefault="00CE63EF" w:rsidP="00901DF3">
      <w:pPr>
        <w:spacing w:line="480" w:lineRule="auto"/>
        <w:rPr>
          <w:lang w:val="en-US"/>
        </w:rPr>
      </w:pPr>
      <w:r w:rsidRPr="0024558E">
        <w:rPr>
          <w:lang w:val="en-US"/>
        </w:rPr>
        <w:t xml:space="preserve">Cost-benefit-analyses (CBA) are widely used to assess transport projects. Comparing various CBA frameworks, this paper </w:t>
      </w:r>
      <w:r w:rsidR="0024558E">
        <w:rPr>
          <w:lang w:val="en-US"/>
        </w:rPr>
        <w:t>concludes that the range of parameters considered in EU transport CBA is limited. A comprehensive list of criteria is presented, and</w:t>
      </w:r>
      <w:r w:rsidRPr="0024558E">
        <w:rPr>
          <w:lang w:val="en-US"/>
        </w:rPr>
        <w:t xml:space="preserve"> unit costs</w:t>
      </w:r>
      <w:r w:rsidR="0024558E">
        <w:rPr>
          <w:lang w:val="en-US"/>
        </w:rPr>
        <w:t xml:space="preserve"> identified. These are used to calculate</w:t>
      </w:r>
      <w:r w:rsidRPr="0024558E">
        <w:rPr>
          <w:lang w:val="en-US"/>
        </w:rPr>
        <w:t xml:space="preserve"> the </w:t>
      </w:r>
      <w:r w:rsidR="007F0B1C">
        <w:rPr>
          <w:lang w:val="en-US"/>
        </w:rPr>
        <w:t xml:space="preserve">external </w:t>
      </w:r>
      <w:r w:rsidRPr="0024558E">
        <w:rPr>
          <w:lang w:val="en-US"/>
        </w:rPr>
        <w:t xml:space="preserve">and private cost of automobility, cycling and walking in the European Union. </w:t>
      </w:r>
      <w:r w:rsidR="0024558E">
        <w:rPr>
          <w:lang w:val="en-US"/>
        </w:rPr>
        <w:t>Results suggest that</w:t>
      </w:r>
      <w:r w:rsidRPr="0024558E">
        <w:rPr>
          <w:lang w:val="en-US"/>
        </w:rPr>
        <w:t xml:space="preserve"> each kilometer driven by car incurs a</w:t>
      </w:r>
      <w:r w:rsidR="007F0B1C">
        <w:rPr>
          <w:lang w:val="en-US"/>
        </w:rPr>
        <w:t xml:space="preserve">n external </w:t>
      </w:r>
      <w:r w:rsidRPr="0024558E">
        <w:rPr>
          <w:lang w:val="en-US"/>
        </w:rPr>
        <w:t>cost of €0.11, while cycling and walking represent benefits</w:t>
      </w:r>
      <w:r w:rsidR="00236CF8">
        <w:rPr>
          <w:lang w:val="en-US"/>
        </w:rPr>
        <w:t xml:space="preserve"> of</w:t>
      </w:r>
      <w:r w:rsidRPr="0024558E">
        <w:rPr>
          <w:lang w:val="en-US"/>
        </w:rPr>
        <w:t xml:space="preserve"> €0.18 and €0.37 per kilometer. Extrapolated to the total number of passenger kilometers driven, cycled or walked in the European Union, the cost of automobility is about €500 billion per year. Due to positive health effects, cycling is a</w:t>
      </w:r>
      <w:r w:rsidR="00062C1C">
        <w:rPr>
          <w:lang w:val="en-US"/>
        </w:rPr>
        <w:t>n</w:t>
      </w:r>
      <w:r w:rsidRPr="0024558E">
        <w:rPr>
          <w:lang w:val="en-US"/>
        </w:rPr>
        <w:t xml:space="preserve"> </w:t>
      </w:r>
      <w:r w:rsidR="007F0B1C">
        <w:rPr>
          <w:lang w:val="en-US"/>
        </w:rPr>
        <w:t>external</w:t>
      </w:r>
      <w:r w:rsidRPr="0024558E">
        <w:rPr>
          <w:lang w:val="en-US"/>
        </w:rPr>
        <w:t xml:space="preserve"> benefit worth €24 billion/year and walking €66 billion/year. </w:t>
      </w:r>
      <w:r w:rsidR="007F0B1C">
        <w:rPr>
          <w:lang w:val="en-US"/>
        </w:rPr>
        <w:t xml:space="preserve">CBA frameworks in the EU should be widened to </w:t>
      </w:r>
      <w:r w:rsidR="00062C1C">
        <w:rPr>
          <w:lang w:val="en-US"/>
        </w:rPr>
        <w:t xml:space="preserve">better include the full range of externalities, </w:t>
      </w:r>
      <w:r w:rsidR="007F0B1C">
        <w:rPr>
          <w:lang w:val="en-US"/>
        </w:rPr>
        <w:t xml:space="preserve">and, where feasible, be used </w:t>
      </w:r>
      <w:r w:rsidRPr="0024558E">
        <w:rPr>
          <w:lang w:val="en-US"/>
        </w:rPr>
        <w:t>comparatively to better understand the consequences of different transport investment decisions.</w:t>
      </w:r>
    </w:p>
    <w:p w14:paraId="69698C10" w14:textId="77777777" w:rsidR="0024558E" w:rsidRPr="0024558E" w:rsidRDefault="0024558E" w:rsidP="00901DF3">
      <w:pPr>
        <w:spacing w:line="480" w:lineRule="auto"/>
        <w:rPr>
          <w:lang w:val="en-US"/>
        </w:rPr>
      </w:pPr>
    </w:p>
    <w:p w14:paraId="79AF25B9" w14:textId="77777777" w:rsidR="00821754" w:rsidRPr="00A003DB" w:rsidRDefault="00CE1FBF" w:rsidP="00901DF3">
      <w:pPr>
        <w:spacing w:line="480" w:lineRule="auto"/>
        <w:outlineLvl w:val="0"/>
        <w:rPr>
          <w:b/>
          <w:lang w:val="en-US"/>
        </w:rPr>
      </w:pPr>
      <w:r w:rsidRPr="00A003DB">
        <w:rPr>
          <w:b/>
          <w:lang w:val="en-US"/>
        </w:rPr>
        <w:t xml:space="preserve">1. </w:t>
      </w:r>
      <w:r w:rsidR="0024579A" w:rsidRPr="00A003DB">
        <w:rPr>
          <w:b/>
          <w:lang w:val="en-US"/>
        </w:rPr>
        <w:t>Introduction</w:t>
      </w:r>
    </w:p>
    <w:p w14:paraId="4F4716ED" w14:textId="5D71F1E9" w:rsidR="0095602A" w:rsidRPr="006051FC" w:rsidRDefault="00017517" w:rsidP="00901DF3">
      <w:pPr>
        <w:spacing w:line="480" w:lineRule="auto"/>
        <w:jc w:val="both"/>
        <w:rPr>
          <w:lang w:val="en-US"/>
        </w:rPr>
      </w:pPr>
      <w:r w:rsidRPr="006051FC">
        <w:rPr>
          <w:lang w:val="en-US"/>
        </w:rPr>
        <w:t>T</w:t>
      </w:r>
      <w:r w:rsidR="0095602A" w:rsidRPr="006051FC">
        <w:rPr>
          <w:lang w:val="en-US"/>
        </w:rPr>
        <w:t>ranspor</w:t>
      </w:r>
      <w:r w:rsidRPr="006051FC">
        <w:rPr>
          <w:lang w:val="en-US"/>
        </w:rPr>
        <w:t>t systems need to change</w:t>
      </w:r>
      <w:r w:rsidR="0095602A" w:rsidRPr="006051FC">
        <w:rPr>
          <w:lang w:val="en-US"/>
        </w:rPr>
        <w:t xml:space="preserve"> in very significant ways</w:t>
      </w:r>
      <w:r w:rsidR="008E6D62" w:rsidRPr="006051FC">
        <w:rPr>
          <w:lang w:val="en-US"/>
        </w:rPr>
        <w:t xml:space="preserve"> </w:t>
      </w:r>
      <w:r w:rsidR="003813DB">
        <w:rPr>
          <w:lang w:val="en-US"/>
        </w:rPr>
        <w:t>to become</w:t>
      </w:r>
      <w:r w:rsidR="00A003DB">
        <w:rPr>
          <w:lang w:val="en-US"/>
        </w:rPr>
        <w:t xml:space="preserve"> aligned with</w:t>
      </w:r>
      <w:r w:rsidR="0095602A" w:rsidRPr="006051FC">
        <w:rPr>
          <w:lang w:val="en-US"/>
        </w:rPr>
        <w:t xml:space="preserve"> </w:t>
      </w:r>
      <w:r w:rsidR="003813DB">
        <w:rPr>
          <w:lang w:val="en-US"/>
        </w:rPr>
        <w:t xml:space="preserve">the </w:t>
      </w:r>
      <w:r w:rsidR="002468E6" w:rsidRPr="006051FC">
        <w:rPr>
          <w:lang w:val="en-US"/>
        </w:rPr>
        <w:t>UN Sustainable Development Goals</w:t>
      </w:r>
      <w:r w:rsidR="00A003DB">
        <w:rPr>
          <w:lang w:val="en-US"/>
        </w:rPr>
        <w:t xml:space="preserve"> </w:t>
      </w:r>
      <w:r w:rsidRPr="006051FC">
        <w:rPr>
          <w:lang w:val="en-US"/>
        </w:rPr>
        <w:t>(</w:t>
      </w:r>
      <w:r w:rsidR="003813DB" w:rsidRPr="006051FC">
        <w:rPr>
          <w:lang w:val="en-US"/>
        </w:rPr>
        <w:t>Creutzig et al. 2015</w:t>
      </w:r>
      <w:r w:rsidR="003813DB">
        <w:rPr>
          <w:lang w:val="en-US"/>
        </w:rPr>
        <w:t xml:space="preserve">; The Lancet 2017; </w:t>
      </w:r>
      <w:r w:rsidR="00C3629F" w:rsidRPr="006051FC">
        <w:rPr>
          <w:lang w:val="en-US"/>
        </w:rPr>
        <w:t>UN</w:t>
      </w:r>
      <w:r w:rsidR="00D00FDE" w:rsidRPr="006051FC">
        <w:rPr>
          <w:lang w:val="en-US"/>
        </w:rPr>
        <w:t>FCCC</w:t>
      </w:r>
      <w:r w:rsidR="00C3629F" w:rsidRPr="006051FC">
        <w:rPr>
          <w:lang w:val="en-US"/>
        </w:rPr>
        <w:t xml:space="preserve"> 20</w:t>
      </w:r>
      <w:r w:rsidR="00A368CB" w:rsidRPr="006051FC">
        <w:rPr>
          <w:lang w:val="en-US"/>
        </w:rPr>
        <w:t>1</w:t>
      </w:r>
      <w:r w:rsidR="00D00FDE" w:rsidRPr="006051FC">
        <w:rPr>
          <w:lang w:val="en-US"/>
        </w:rPr>
        <w:t>5</w:t>
      </w:r>
      <w:r w:rsidR="00C3629F" w:rsidRPr="006051FC">
        <w:rPr>
          <w:lang w:val="en-US"/>
        </w:rPr>
        <w:t xml:space="preserve">; </w:t>
      </w:r>
      <w:r w:rsidR="003C2C9D" w:rsidRPr="006051FC">
        <w:rPr>
          <w:lang w:val="en-US"/>
        </w:rPr>
        <w:t>WHO 2011, 2016</w:t>
      </w:r>
      <w:r w:rsidRPr="006051FC">
        <w:rPr>
          <w:lang w:val="en-US"/>
        </w:rPr>
        <w:t>).</w:t>
      </w:r>
      <w:r w:rsidR="000B3A80" w:rsidRPr="006051FC">
        <w:rPr>
          <w:lang w:val="en-US"/>
        </w:rPr>
        <w:t xml:space="preserve"> To</w:t>
      </w:r>
      <w:r w:rsidR="00697285" w:rsidRPr="006051FC">
        <w:rPr>
          <w:lang w:val="en-US"/>
        </w:rPr>
        <w:t xml:space="preserve"> reduce levels of local air pollution, accidents, and congestion</w:t>
      </w:r>
      <w:r w:rsidR="007A69B0" w:rsidRPr="006051FC">
        <w:rPr>
          <w:lang w:val="en-US"/>
        </w:rPr>
        <w:t xml:space="preserve"> </w:t>
      </w:r>
      <w:r w:rsidR="003813DB">
        <w:rPr>
          <w:lang w:val="en-US"/>
        </w:rPr>
        <w:t>is</w:t>
      </w:r>
      <w:r w:rsidR="007A69B0" w:rsidRPr="006051FC">
        <w:rPr>
          <w:lang w:val="en-US"/>
        </w:rPr>
        <w:t xml:space="preserve"> </w:t>
      </w:r>
      <w:r w:rsidR="00697285" w:rsidRPr="006051FC">
        <w:rPr>
          <w:lang w:val="en-US"/>
        </w:rPr>
        <w:t xml:space="preserve">a long-standing </w:t>
      </w:r>
      <w:r w:rsidR="007A69B0" w:rsidRPr="006051FC">
        <w:rPr>
          <w:lang w:val="en-US"/>
        </w:rPr>
        <w:t xml:space="preserve">policy </w:t>
      </w:r>
      <w:r w:rsidR="00697285" w:rsidRPr="006051FC">
        <w:rPr>
          <w:lang w:val="en-US"/>
        </w:rPr>
        <w:t>goal in the E</w:t>
      </w:r>
      <w:r w:rsidR="00A21428" w:rsidRPr="006051FC">
        <w:rPr>
          <w:lang w:val="en-US"/>
        </w:rPr>
        <w:t xml:space="preserve">uropean Union </w:t>
      </w:r>
      <w:r w:rsidR="00D2369B" w:rsidRPr="006051FC">
        <w:rPr>
          <w:lang w:val="en-US"/>
        </w:rPr>
        <w:t xml:space="preserve">(EU) </w:t>
      </w:r>
      <w:r w:rsidR="00A21428" w:rsidRPr="006051FC">
        <w:rPr>
          <w:lang w:val="en-US"/>
        </w:rPr>
        <w:t>(EC</w:t>
      </w:r>
      <w:r w:rsidR="00697285" w:rsidRPr="006051FC">
        <w:rPr>
          <w:lang w:val="en-US"/>
        </w:rPr>
        <w:t xml:space="preserve"> 2011).</w:t>
      </w:r>
      <w:r w:rsidR="0095602A" w:rsidRPr="006051FC">
        <w:rPr>
          <w:lang w:val="en-US"/>
        </w:rPr>
        <w:t xml:space="preserve"> </w:t>
      </w:r>
      <w:r w:rsidR="007A69B0" w:rsidRPr="006051FC">
        <w:rPr>
          <w:lang w:val="en-US"/>
        </w:rPr>
        <w:t>Negative ext</w:t>
      </w:r>
      <w:r w:rsidR="009F103B" w:rsidRPr="006051FC">
        <w:rPr>
          <w:lang w:val="en-US"/>
        </w:rPr>
        <w:t>ernalities of transportation congregate</w:t>
      </w:r>
      <w:r w:rsidR="007A69B0" w:rsidRPr="006051FC">
        <w:rPr>
          <w:lang w:val="en-US"/>
        </w:rPr>
        <w:t xml:space="preserve"> in cities, </w:t>
      </w:r>
      <w:r w:rsidR="009F103B" w:rsidRPr="006051FC">
        <w:rPr>
          <w:lang w:val="en-US"/>
        </w:rPr>
        <w:t>with</w:t>
      </w:r>
      <w:r w:rsidR="007A69B0" w:rsidRPr="006051FC">
        <w:rPr>
          <w:lang w:val="en-US"/>
        </w:rPr>
        <w:t xml:space="preserve"> a widely held consensus that these can only be resolved on the basis of </w:t>
      </w:r>
      <w:r w:rsidR="0095602A" w:rsidRPr="006051FC">
        <w:rPr>
          <w:lang w:val="en-US"/>
        </w:rPr>
        <w:t>new urban transport cultur</w:t>
      </w:r>
      <w:r w:rsidR="009F103B" w:rsidRPr="006051FC">
        <w:rPr>
          <w:lang w:val="en-US"/>
        </w:rPr>
        <w:t>es</w:t>
      </w:r>
      <w:r w:rsidR="0095602A" w:rsidRPr="006051FC">
        <w:rPr>
          <w:lang w:val="en-US"/>
        </w:rPr>
        <w:t xml:space="preserve"> in which </w:t>
      </w:r>
      <w:r w:rsidR="003813DB">
        <w:rPr>
          <w:lang w:val="en-US"/>
        </w:rPr>
        <w:t xml:space="preserve">cycling and walking </w:t>
      </w:r>
      <w:r w:rsidR="0095602A" w:rsidRPr="006051FC">
        <w:rPr>
          <w:lang w:val="en-US"/>
        </w:rPr>
        <w:t>ha</w:t>
      </w:r>
      <w:r w:rsidR="003813DB">
        <w:rPr>
          <w:lang w:val="en-US"/>
        </w:rPr>
        <w:t>ve</w:t>
      </w:r>
      <w:r w:rsidR="0095602A" w:rsidRPr="006051FC">
        <w:rPr>
          <w:lang w:val="en-US"/>
        </w:rPr>
        <w:t xml:space="preserve"> to </w:t>
      </w:r>
      <w:r w:rsidR="0095602A" w:rsidRPr="006051FC">
        <w:rPr>
          <w:lang w:val="en-US"/>
        </w:rPr>
        <w:lastRenderedPageBreak/>
        <w:t>perform important roles (Aldred 2013</w:t>
      </w:r>
      <w:r w:rsidR="002F7F47" w:rsidRPr="006051FC">
        <w:rPr>
          <w:lang w:val="en-US"/>
        </w:rPr>
        <w:t xml:space="preserve">; </w:t>
      </w:r>
      <w:r w:rsidR="003813DB">
        <w:rPr>
          <w:lang w:val="en-US"/>
        </w:rPr>
        <w:t xml:space="preserve">Hall et al. 2017; </w:t>
      </w:r>
      <w:r w:rsidR="002F7F47" w:rsidRPr="006051FC">
        <w:rPr>
          <w:lang w:val="en-US"/>
        </w:rPr>
        <w:t xml:space="preserve">Pucher </w:t>
      </w:r>
      <w:r w:rsidR="000735BA">
        <w:rPr>
          <w:lang w:val="en-US"/>
        </w:rPr>
        <w:t>&amp;</w:t>
      </w:r>
      <w:r w:rsidR="002F7F47" w:rsidRPr="006051FC">
        <w:rPr>
          <w:lang w:val="en-US"/>
        </w:rPr>
        <w:t xml:space="preserve"> Buehler 2017</w:t>
      </w:r>
      <w:r w:rsidR="0095602A" w:rsidRPr="006051FC">
        <w:rPr>
          <w:lang w:val="en-US"/>
        </w:rPr>
        <w:t>).</w:t>
      </w:r>
      <w:r w:rsidR="00697285" w:rsidRPr="006051FC">
        <w:rPr>
          <w:lang w:val="en-US"/>
        </w:rPr>
        <w:t xml:space="preserve"> </w:t>
      </w:r>
      <w:r w:rsidR="002F7F47" w:rsidRPr="006051FC">
        <w:rPr>
          <w:lang w:val="en-US"/>
        </w:rPr>
        <w:t>Only where</w:t>
      </w:r>
      <w:r w:rsidR="00686AFD" w:rsidRPr="006051FC">
        <w:rPr>
          <w:lang w:val="en-US"/>
        </w:rPr>
        <w:t xml:space="preserve"> </w:t>
      </w:r>
      <w:r w:rsidR="003813DB">
        <w:rPr>
          <w:lang w:val="en-US"/>
        </w:rPr>
        <w:t>the role of the car</w:t>
      </w:r>
      <w:r w:rsidR="009F103B" w:rsidRPr="006051FC">
        <w:rPr>
          <w:lang w:val="en-US"/>
        </w:rPr>
        <w:t xml:space="preserve"> declines is it realistic to reduce</w:t>
      </w:r>
      <w:r w:rsidR="007A69B0" w:rsidRPr="006051FC">
        <w:rPr>
          <w:lang w:val="en-US"/>
        </w:rPr>
        <w:t xml:space="preserve"> </w:t>
      </w:r>
      <w:r w:rsidR="00EA2C7F">
        <w:rPr>
          <w:lang w:val="en-US"/>
        </w:rPr>
        <w:t>traffic density and</w:t>
      </w:r>
      <w:r w:rsidR="009F103B" w:rsidRPr="006051FC">
        <w:rPr>
          <w:lang w:val="en-US"/>
        </w:rPr>
        <w:t xml:space="preserve"> </w:t>
      </w:r>
      <w:r w:rsidR="003813DB">
        <w:rPr>
          <w:lang w:val="en-US"/>
        </w:rPr>
        <w:t>air pollution</w:t>
      </w:r>
      <w:r w:rsidR="00924099">
        <w:rPr>
          <w:lang w:val="en-US"/>
        </w:rPr>
        <w:t>,</w:t>
      </w:r>
      <w:r w:rsidR="00F75EC2" w:rsidRPr="006051FC">
        <w:rPr>
          <w:lang w:val="en-US"/>
        </w:rPr>
        <w:t xml:space="preserve"> even in a scenario where electric, autonomous automobility diminishes noise levels and </w:t>
      </w:r>
      <w:r w:rsidR="00722A42" w:rsidRPr="006051FC">
        <w:rPr>
          <w:lang w:val="en-US"/>
        </w:rPr>
        <w:t xml:space="preserve">collision </w:t>
      </w:r>
      <w:r w:rsidR="00F75EC2" w:rsidRPr="006051FC">
        <w:rPr>
          <w:lang w:val="en-US"/>
        </w:rPr>
        <w:t xml:space="preserve">risks </w:t>
      </w:r>
      <w:r w:rsidR="009F103B" w:rsidRPr="006051FC">
        <w:rPr>
          <w:lang w:val="en-US"/>
        </w:rPr>
        <w:t>(</w:t>
      </w:r>
      <w:r w:rsidR="00361CF0" w:rsidRPr="006051FC">
        <w:rPr>
          <w:lang w:val="en-US"/>
        </w:rPr>
        <w:t>Zuurbier et al. 2010</w:t>
      </w:r>
      <w:r w:rsidR="00F75EC2" w:rsidRPr="006051FC">
        <w:rPr>
          <w:lang w:val="en-US"/>
        </w:rPr>
        <w:t xml:space="preserve">). </w:t>
      </w:r>
    </w:p>
    <w:p w14:paraId="75477183" w14:textId="77777777" w:rsidR="00697285" w:rsidRPr="006051FC" w:rsidRDefault="00697285" w:rsidP="00901DF3">
      <w:pPr>
        <w:spacing w:line="480" w:lineRule="auto"/>
        <w:jc w:val="both"/>
        <w:rPr>
          <w:lang w:val="en-US"/>
        </w:rPr>
      </w:pPr>
    </w:p>
    <w:p w14:paraId="50DAB29D" w14:textId="4AB9CF37" w:rsidR="00697285" w:rsidRPr="0050741C" w:rsidRDefault="00924099" w:rsidP="00901DF3">
      <w:pPr>
        <w:spacing w:line="480" w:lineRule="auto"/>
        <w:jc w:val="both"/>
        <w:rPr>
          <w:lang w:val="en-US"/>
        </w:rPr>
      </w:pPr>
      <w:r>
        <w:rPr>
          <w:lang w:val="en-US"/>
        </w:rPr>
        <w:t>In European cities,</w:t>
      </w:r>
      <w:r w:rsidR="002626EA" w:rsidRPr="0050741C">
        <w:rPr>
          <w:lang w:val="en-US"/>
        </w:rPr>
        <w:t xml:space="preserve"> c</w:t>
      </w:r>
      <w:r w:rsidR="00A27FE8" w:rsidRPr="0050741C">
        <w:rPr>
          <w:lang w:val="en-US"/>
        </w:rPr>
        <w:t>ycling</w:t>
      </w:r>
      <w:r w:rsidR="001F6894" w:rsidRPr="0050741C">
        <w:rPr>
          <w:lang w:val="en-US"/>
        </w:rPr>
        <w:t xml:space="preserve"> and walking</w:t>
      </w:r>
      <w:r w:rsidR="00A27FE8" w:rsidRPr="0050741C">
        <w:rPr>
          <w:lang w:val="en-US"/>
        </w:rPr>
        <w:t xml:space="preserve"> </w:t>
      </w:r>
      <w:r w:rsidR="001F6894" w:rsidRPr="0050741C">
        <w:rPr>
          <w:lang w:val="en-US"/>
        </w:rPr>
        <w:t>are</w:t>
      </w:r>
      <w:r w:rsidR="00A27FE8" w:rsidRPr="0050741C">
        <w:rPr>
          <w:lang w:val="en-US"/>
        </w:rPr>
        <w:t xml:space="preserve"> becoming </w:t>
      </w:r>
      <w:r>
        <w:rPr>
          <w:lang w:val="en-US"/>
        </w:rPr>
        <w:t xml:space="preserve">increasingly </w:t>
      </w:r>
      <w:r w:rsidR="00A27FE8" w:rsidRPr="0050741C">
        <w:rPr>
          <w:lang w:val="en-US"/>
        </w:rPr>
        <w:t xml:space="preserve">more common </w:t>
      </w:r>
      <w:r w:rsidR="004A6009" w:rsidRPr="0050741C">
        <w:rPr>
          <w:lang w:val="en-US"/>
        </w:rPr>
        <w:t>(</w:t>
      </w:r>
      <w:r w:rsidR="00145474" w:rsidRPr="0050741C">
        <w:rPr>
          <w:lang w:val="en-US"/>
        </w:rPr>
        <w:t>Hall et al.</w:t>
      </w:r>
      <w:r w:rsidR="003F30DD" w:rsidRPr="0050741C">
        <w:rPr>
          <w:lang w:val="en-US"/>
        </w:rPr>
        <w:t xml:space="preserve"> 201</w:t>
      </w:r>
      <w:r w:rsidR="003813DB">
        <w:rPr>
          <w:lang w:val="en-US"/>
        </w:rPr>
        <w:t>7</w:t>
      </w:r>
      <w:r w:rsidR="003F30DD" w:rsidRPr="0050741C">
        <w:rPr>
          <w:lang w:val="en-US"/>
        </w:rPr>
        <w:t xml:space="preserve">; </w:t>
      </w:r>
      <w:r w:rsidR="00A17947" w:rsidRPr="0050741C">
        <w:rPr>
          <w:lang w:val="en-US"/>
        </w:rPr>
        <w:t>Pucher and Buehler 2017</w:t>
      </w:r>
      <w:r w:rsidR="004A6009" w:rsidRPr="0050741C">
        <w:rPr>
          <w:lang w:val="en-US"/>
        </w:rPr>
        <w:t>)</w:t>
      </w:r>
      <w:r w:rsidR="00697285" w:rsidRPr="0050741C">
        <w:rPr>
          <w:lang w:val="en-US"/>
        </w:rPr>
        <w:t>.</w:t>
      </w:r>
      <w:r w:rsidR="001F3F3E" w:rsidRPr="0050741C">
        <w:rPr>
          <w:lang w:val="en-US"/>
        </w:rPr>
        <w:t xml:space="preserve"> </w:t>
      </w:r>
      <w:r w:rsidR="002626EA" w:rsidRPr="0050741C">
        <w:rPr>
          <w:lang w:val="en-US"/>
        </w:rPr>
        <w:t>These transport modes can replace trips by car</w:t>
      </w:r>
      <w:r w:rsidR="00E31C76" w:rsidRPr="0050741C">
        <w:rPr>
          <w:lang w:val="en-US"/>
        </w:rPr>
        <w:t xml:space="preserve">, specifically </w:t>
      </w:r>
      <w:r w:rsidR="002626EA" w:rsidRPr="0050741C">
        <w:rPr>
          <w:lang w:val="en-US"/>
        </w:rPr>
        <w:t>in cities, where</w:t>
      </w:r>
      <w:r w:rsidR="005C7C81" w:rsidRPr="0050741C">
        <w:rPr>
          <w:lang w:val="en-US"/>
        </w:rPr>
        <w:t xml:space="preserve"> a majority of trips are short </w:t>
      </w:r>
      <w:r w:rsidR="002626EA" w:rsidRPr="0050741C">
        <w:rPr>
          <w:lang w:val="en-US"/>
        </w:rPr>
        <w:t>(</w:t>
      </w:r>
      <w:r w:rsidR="00E31C76" w:rsidRPr="0050741C">
        <w:rPr>
          <w:lang w:val="en-US"/>
        </w:rPr>
        <w:t xml:space="preserve">Blickstein </w:t>
      </w:r>
      <w:r w:rsidR="000735BA">
        <w:rPr>
          <w:lang w:val="en-US"/>
        </w:rPr>
        <w:t>&amp;</w:t>
      </w:r>
      <w:r w:rsidR="00E31C76" w:rsidRPr="0050741C">
        <w:rPr>
          <w:lang w:val="en-US"/>
        </w:rPr>
        <w:t xml:space="preserve"> Hanson 2001</w:t>
      </w:r>
      <w:r w:rsidR="002626EA" w:rsidRPr="0050741C">
        <w:rPr>
          <w:lang w:val="en-US"/>
        </w:rPr>
        <w:t xml:space="preserve">). </w:t>
      </w:r>
      <w:r w:rsidR="00E31C76" w:rsidRPr="0050741C">
        <w:rPr>
          <w:lang w:val="en-US"/>
        </w:rPr>
        <w:t>Evidence suggests that cycling levels increase where</w:t>
      </w:r>
      <w:r w:rsidR="006E2C58" w:rsidRPr="0050741C">
        <w:rPr>
          <w:lang w:val="en-US"/>
        </w:rPr>
        <w:t xml:space="preserve"> physically separated</w:t>
      </w:r>
      <w:r w:rsidR="001F3F3E" w:rsidRPr="0050741C">
        <w:rPr>
          <w:lang w:val="en-US"/>
        </w:rPr>
        <w:t xml:space="preserve"> cycle tracks </w:t>
      </w:r>
      <w:r w:rsidR="006E2C58" w:rsidRPr="0050741C">
        <w:rPr>
          <w:lang w:val="en-US"/>
        </w:rPr>
        <w:t>have been built</w:t>
      </w:r>
      <w:r w:rsidR="00AC22DB" w:rsidRPr="0050741C">
        <w:rPr>
          <w:lang w:val="en-US"/>
        </w:rPr>
        <w:t xml:space="preserve"> (Frondel </w:t>
      </w:r>
      <w:r w:rsidR="000735BA">
        <w:rPr>
          <w:lang w:val="en-US"/>
        </w:rPr>
        <w:t>&amp;</w:t>
      </w:r>
      <w:r w:rsidR="00AC22DB" w:rsidRPr="0050741C">
        <w:rPr>
          <w:lang w:val="en-US"/>
        </w:rPr>
        <w:t xml:space="preserve"> Vance 2017)</w:t>
      </w:r>
      <w:r w:rsidR="001F3F3E" w:rsidRPr="0050741C">
        <w:rPr>
          <w:lang w:val="en-US"/>
        </w:rPr>
        <w:t xml:space="preserve">, where trips are short, and where safe routes to school </w:t>
      </w:r>
      <w:r w:rsidR="006E2C58" w:rsidRPr="0050741C">
        <w:rPr>
          <w:lang w:val="en-US"/>
        </w:rPr>
        <w:t>exist</w:t>
      </w:r>
      <w:r>
        <w:rPr>
          <w:lang w:val="en-US"/>
        </w:rPr>
        <w:t>. I</w:t>
      </w:r>
      <w:r w:rsidR="001F3F3E" w:rsidRPr="0050741C">
        <w:rPr>
          <w:lang w:val="en-US"/>
        </w:rPr>
        <w:t>n co</w:t>
      </w:r>
      <w:r w:rsidR="00CA437C" w:rsidRPr="0050741C">
        <w:rPr>
          <w:lang w:val="en-US"/>
        </w:rPr>
        <w:t>ntrast</w:t>
      </w:r>
      <w:r w:rsidR="001F3F3E" w:rsidRPr="0050741C">
        <w:rPr>
          <w:lang w:val="en-US"/>
        </w:rPr>
        <w:t>, perceived traffic danger</w:t>
      </w:r>
      <w:r w:rsidR="001B2445" w:rsidRPr="0050741C">
        <w:rPr>
          <w:lang w:val="en-US"/>
        </w:rPr>
        <w:t>s</w:t>
      </w:r>
      <w:r>
        <w:rPr>
          <w:lang w:val="en-US"/>
        </w:rPr>
        <w:t>, exposure to exhaust and noise, or</w:t>
      </w:r>
      <w:r w:rsidR="001F3F3E" w:rsidRPr="0050741C">
        <w:rPr>
          <w:lang w:val="en-US"/>
        </w:rPr>
        <w:t xml:space="preserve"> longer trip distances</w:t>
      </w:r>
      <w:r>
        <w:rPr>
          <w:lang w:val="en-US"/>
        </w:rPr>
        <w:t xml:space="preserve"> </w:t>
      </w:r>
      <w:r w:rsidR="001F3F3E" w:rsidRPr="0050741C">
        <w:rPr>
          <w:lang w:val="en-US"/>
        </w:rPr>
        <w:t xml:space="preserve">all represent barriers to cycling (Fraser </w:t>
      </w:r>
      <w:r w:rsidR="000735BA">
        <w:rPr>
          <w:lang w:val="en-US"/>
        </w:rPr>
        <w:t>&amp;</w:t>
      </w:r>
      <w:r w:rsidR="001F3F3E" w:rsidRPr="0050741C">
        <w:rPr>
          <w:lang w:val="en-US"/>
        </w:rPr>
        <w:t xml:space="preserve"> Lock 2010</w:t>
      </w:r>
      <w:r>
        <w:rPr>
          <w:lang w:val="en-US"/>
        </w:rPr>
        <w:t>; Gössling et al. 2018</w:t>
      </w:r>
      <w:r w:rsidR="001F3F3E" w:rsidRPr="0050741C">
        <w:rPr>
          <w:lang w:val="en-US"/>
        </w:rPr>
        <w:t xml:space="preserve">). </w:t>
      </w:r>
      <w:r>
        <w:rPr>
          <w:lang w:val="en-US"/>
        </w:rPr>
        <w:t>As a result, c</w:t>
      </w:r>
      <w:r w:rsidR="001F3F3E" w:rsidRPr="0050741C">
        <w:rPr>
          <w:lang w:val="en-US"/>
        </w:rPr>
        <w:t>ities seek</w:t>
      </w:r>
      <w:r>
        <w:rPr>
          <w:lang w:val="en-US"/>
        </w:rPr>
        <w:t>ing</w:t>
      </w:r>
      <w:r w:rsidR="001F3F3E" w:rsidRPr="0050741C">
        <w:rPr>
          <w:lang w:val="en-US"/>
        </w:rPr>
        <w:t xml:space="preserve"> to increase cyclist numbers </w:t>
      </w:r>
      <w:r w:rsidR="00175B31" w:rsidRPr="0050741C">
        <w:rPr>
          <w:lang w:val="en-US"/>
        </w:rPr>
        <w:t>need to</w:t>
      </w:r>
      <w:r w:rsidR="00337604" w:rsidRPr="0050741C">
        <w:rPr>
          <w:lang w:val="en-US"/>
        </w:rPr>
        <w:t xml:space="preserve"> redesign </w:t>
      </w:r>
      <w:r w:rsidR="00175B31" w:rsidRPr="0050741C">
        <w:rPr>
          <w:lang w:val="en-US"/>
        </w:rPr>
        <w:t xml:space="preserve">urban environments (Buehler et al. 2017; </w:t>
      </w:r>
      <w:r w:rsidR="004A1C0A" w:rsidRPr="0050741C">
        <w:rPr>
          <w:lang w:val="en-US"/>
        </w:rPr>
        <w:t>Forsyth</w:t>
      </w:r>
      <w:r w:rsidR="000735BA">
        <w:rPr>
          <w:lang w:val="en-US"/>
        </w:rPr>
        <w:t xml:space="preserve"> &amp;</w:t>
      </w:r>
      <w:r w:rsidR="004A1C0A" w:rsidRPr="0050741C">
        <w:rPr>
          <w:lang w:val="en-US"/>
        </w:rPr>
        <w:t xml:space="preserve"> Krizek 2011; Larsen et al. 2013)</w:t>
      </w:r>
      <w:r w:rsidR="0014501E" w:rsidRPr="0050741C">
        <w:rPr>
          <w:lang w:val="en-US"/>
        </w:rPr>
        <w:t>, as b</w:t>
      </w:r>
      <w:r w:rsidR="00697285" w:rsidRPr="0050741C">
        <w:rPr>
          <w:lang w:val="en-US"/>
        </w:rPr>
        <w:t>icycle cultures will only evolve where the concerns and expectations of cyclists regarding safety, speed, and comfort are t</w:t>
      </w:r>
      <w:r w:rsidR="00A21428" w:rsidRPr="0050741C">
        <w:rPr>
          <w:lang w:val="en-US"/>
        </w:rPr>
        <w:t>aken into consideration (Aldred</w:t>
      </w:r>
      <w:r w:rsidR="00697285" w:rsidRPr="0050741C">
        <w:rPr>
          <w:lang w:val="en-US"/>
        </w:rPr>
        <w:t xml:space="preserve"> 2013</w:t>
      </w:r>
      <w:r w:rsidR="004A1C0A" w:rsidRPr="0050741C">
        <w:rPr>
          <w:lang w:val="en-US"/>
        </w:rPr>
        <w:t>).</w:t>
      </w:r>
      <w:r w:rsidR="00243544" w:rsidRPr="0050741C">
        <w:rPr>
          <w:lang w:val="en-US"/>
        </w:rPr>
        <w:t xml:space="preserve"> </w:t>
      </w:r>
      <w:r>
        <w:rPr>
          <w:lang w:val="en-US"/>
        </w:rPr>
        <w:t>These insights also apply to walking</w:t>
      </w:r>
      <w:r w:rsidR="00A812D0" w:rsidRPr="0050741C">
        <w:rPr>
          <w:lang w:val="en-US"/>
        </w:rPr>
        <w:t xml:space="preserve">, </w:t>
      </w:r>
      <w:r>
        <w:rPr>
          <w:lang w:val="en-US"/>
        </w:rPr>
        <w:t xml:space="preserve">with ‘walkable’ environments being </w:t>
      </w:r>
      <w:r w:rsidR="00A812D0" w:rsidRPr="0050741C">
        <w:rPr>
          <w:lang w:val="en-US"/>
        </w:rPr>
        <w:t>defined as traversable, compact, physically enticing, and safe</w:t>
      </w:r>
      <w:r>
        <w:rPr>
          <w:lang w:val="en-US"/>
        </w:rPr>
        <w:t xml:space="preserve"> (</w:t>
      </w:r>
      <w:r w:rsidRPr="0050741C">
        <w:rPr>
          <w:lang w:val="en-US"/>
        </w:rPr>
        <w:t>Forsyth 2015)</w:t>
      </w:r>
      <w:r w:rsidR="00A812D0" w:rsidRPr="0050741C">
        <w:rPr>
          <w:lang w:val="en-US"/>
        </w:rPr>
        <w:t>.</w:t>
      </w:r>
      <w:r w:rsidR="0082130C" w:rsidRPr="0050741C">
        <w:rPr>
          <w:lang w:val="en-US"/>
        </w:rPr>
        <w:t xml:space="preserve"> Apart from the politically difficult decision to </w:t>
      </w:r>
      <w:r>
        <w:rPr>
          <w:lang w:val="en-US"/>
        </w:rPr>
        <w:t xml:space="preserve">treat </w:t>
      </w:r>
      <w:r w:rsidR="0082130C" w:rsidRPr="0050741C">
        <w:rPr>
          <w:lang w:val="en-US"/>
        </w:rPr>
        <w:t>cyclists and pedestrians</w:t>
      </w:r>
      <w:r>
        <w:rPr>
          <w:lang w:val="en-US"/>
        </w:rPr>
        <w:t xml:space="preserve"> preferentially in traffic</w:t>
      </w:r>
      <w:r w:rsidR="0082130C" w:rsidRPr="0050741C">
        <w:rPr>
          <w:lang w:val="en-US"/>
        </w:rPr>
        <w:t>, the greatest barrier to urban redesign is the issue of costs</w:t>
      </w:r>
      <w:r w:rsidR="00F01E9B" w:rsidRPr="0050741C">
        <w:rPr>
          <w:lang w:val="en-US"/>
        </w:rPr>
        <w:t xml:space="preserve"> (Gössling </w:t>
      </w:r>
      <w:r w:rsidR="000735BA">
        <w:rPr>
          <w:lang w:val="en-US"/>
        </w:rPr>
        <w:t>&amp;</w:t>
      </w:r>
      <w:r w:rsidR="00F01E9B" w:rsidRPr="0050741C">
        <w:rPr>
          <w:lang w:val="en-US"/>
        </w:rPr>
        <w:t xml:space="preserve"> Choi 2015)</w:t>
      </w:r>
      <w:r w:rsidR="0082130C" w:rsidRPr="0050741C">
        <w:rPr>
          <w:lang w:val="en-US"/>
        </w:rPr>
        <w:t>. This assigns</w:t>
      </w:r>
      <w:r w:rsidR="00722C2C" w:rsidRPr="0050741C">
        <w:rPr>
          <w:lang w:val="en-US"/>
        </w:rPr>
        <w:t xml:space="preserve"> critical importance </w:t>
      </w:r>
      <w:r>
        <w:rPr>
          <w:lang w:val="en-US"/>
        </w:rPr>
        <w:t>to</w:t>
      </w:r>
      <w:r w:rsidR="00813A19" w:rsidRPr="0050741C">
        <w:rPr>
          <w:lang w:val="en-US"/>
        </w:rPr>
        <w:t xml:space="preserve"> cost-benefit an</w:t>
      </w:r>
      <w:r w:rsidR="0082130C" w:rsidRPr="0050741C">
        <w:rPr>
          <w:lang w:val="en-US"/>
        </w:rPr>
        <w:t>alyse</w:t>
      </w:r>
      <w:r w:rsidR="00813A19" w:rsidRPr="0050741C">
        <w:rPr>
          <w:lang w:val="en-US"/>
        </w:rPr>
        <w:t>s</w:t>
      </w:r>
      <w:r w:rsidR="00722A42" w:rsidRPr="0050741C">
        <w:rPr>
          <w:lang w:val="en-US"/>
        </w:rPr>
        <w:t xml:space="preserve"> (CBA)</w:t>
      </w:r>
      <w:r>
        <w:rPr>
          <w:lang w:val="en-US"/>
        </w:rPr>
        <w:t>, which guide decision making in all major transport construction projects</w:t>
      </w:r>
      <w:r w:rsidR="00813A19" w:rsidRPr="0050741C">
        <w:rPr>
          <w:lang w:val="en-US"/>
        </w:rPr>
        <w:t>.</w:t>
      </w:r>
    </w:p>
    <w:p w14:paraId="71030CF8" w14:textId="77777777" w:rsidR="00813A19" w:rsidRPr="0050741C" w:rsidRDefault="00813A19" w:rsidP="00901DF3">
      <w:pPr>
        <w:spacing w:line="480" w:lineRule="auto"/>
        <w:jc w:val="both"/>
        <w:rPr>
          <w:lang w:val="en-US"/>
        </w:rPr>
      </w:pPr>
    </w:p>
    <w:p w14:paraId="1D15816E" w14:textId="0EE782D6" w:rsidR="001846D7" w:rsidRPr="0050741C" w:rsidRDefault="00933BE0" w:rsidP="00901DF3">
      <w:pPr>
        <w:spacing w:line="480" w:lineRule="auto"/>
        <w:jc w:val="both"/>
        <w:rPr>
          <w:lang w:val="en-US"/>
        </w:rPr>
      </w:pPr>
      <w:r w:rsidRPr="0050741C">
        <w:rPr>
          <w:lang w:val="en-US"/>
        </w:rPr>
        <w:t xml:space="preserve">CBA involves </w:t>
      </w:r>
      <w:r w:rsidR="004657B3" w:rsidRPr="0050741C">
        <w:rPr>
          <w:lang w:val="en-US"/>
        </w:rPr>
        <w:t>the assessment of</w:t>
      </w:r>
      <w:r w:rsidRPr="0050741C">
        <w:rPr>
          <w:lang w:val="en-US"/>
        </w:rPr>
        <w:t xml:space="preserve"> potential impacts of a policy across a s</w:t>
      </w:r>
      <w:r w:rsidR="004657B3" w:rsidRPr="0050741C">
        <w:rPr>
          <w:lang w:val="en-US"/>
        </w:rPr>
        <w:t>pecific</w:t>
      </w:r>
      <w:r w:rsidRPr="0050741C">
        <w:rPr>
          <w:lang w:val="en-US"/>
        </w:rPr>
        <w:t xml:space="preserve"> time horizon, </w:t>
      </w:r>
      <w:r w:rsidR="004657B3" w:rsidRPr="0050741C">
        <w:rPr>
          <w:lang w:val="en-US"/>
        </w:rPr>
        <w:t xml:space="preserve">their </w:t>
      </w:r>
      <w:r w:rsidRPr="0050741C">
        <w:rPr>
          <w:lang w:val="en-US"/>
        </w:rPr>
        <w:t xml:space="preserve">monetary valuation, and </w:t>
      </w:r>
      <w:r w:rsidR="004657B3" w:rsidRPr="0050741C">
        <w:rPr>
          <w:lang w:val="en-US"/>
        </w:rPr>
        <w:t>the comparison</w:t>
      </w:r>
      <w:r w:rsidRPr="0050741C">
        <w:rPr>
          <w:lang w:val="en-US"/>
        </w:rPr>
        <w:t xml:space="preserve"> of net benefits and costs (Hanley &amp; Spash, 1993). Inclusion of </w:t>
      </w:r>
      <w:r w:rsidR="004657B3" w:rsidRPr="0050741C">
        <w:rPr>
          <w:lang w:val="en-US"/>
        </w:rPr>
        <w:t>negative externalities</w:t>
      </w:r>
      <w:r w:rsidRPr="0050741C">
        <w:rPr>
          <w:lang w:val="en-US"/>
        </w:rPr>
        <w:t xml:space="preserve"> in the CBA can </w:t>
      </w:r>
      <w:r w:rsidR="000D086B">
        <w:rPr>
          <w:lang w:val="en-US"/>
        </w:rPr>
        <w:t>highlight ‘hidden’ cost issues</w:t>
      </w:r>
      <w:r w:rsidRPr="0050741C">
        <w:rPr>
          <w:lang w:val="en-US"/>
        </w:rPr>
        <w:t xml:space="preserve"> </w:t>
      </w:r>
      <w:r w:rsidR="00B26DDB" w:rsidRPr="0050741C">
        <w:rPr>
          <w:lang w:val="en-US"/>
        </w:rPr>
        <w:lastRenderedPageBreak/>
        <w:t>(Bithas</w:t>
      </w:r>
      <w:r w:rsidR="00AA5E37" w:rsidRPr="0050741C">
        <w:rPr>
          <w:lang w:val="en-US"/>
        </w:rPr>
        <w:t>, 2011). This is never straight</w:t>
      </w:r>
      <w:r w:rsidR="00B26DDB" w:rsidRPr="0050741C">
        <w:rPr>
          <w:lang w:val="en-US"/>
        </w:rPr>
        <w:t>forward, as the</w:t>
      </w:r>
      <w:r w:rsidRPr="0050741C">
        <w:rPr>
          <w:lang w:val="en-US"/>
        </w:rPr>
        <w:t xml:space="preserve"> selection of </w:t>
      </w:r>
      <w:r w:rsidR="00B26DDB" w:rsidRPr="0050741C">
        <w:rPr>
          <w:lang w:val="en-US"/>
        </w:rPr>
        <w:t>aspects to include in the CBA, as well as</w:t>
      </w:r>
      <w:r w:rsidRPr="0050741C">
        <w:rPr>
          <w:lang w:val="en-US"/>
        </w:rPr>
        <w:t xml:space="preserve"> the</w:t>
      </w:r>
      <w:r w:rsidR="00B26DDB" w:rsidRPr="0050741C">
        <w:rPr>
          <w:lang w:val="en-US"/>
        </w:rPr>
        <w:t xml:space="preserve">ir valuation, is </w:t>
      </w:r>
      <w:r w:rsidRPr="0050741C">
        <w:rPr>
          <w:lang w:val="en-US"/>
        </w:rPr>
        <w:t xml:space="preserve">influenced by the ideological orientation of the actors involved in the analysis </w:t>
      </w:r>
      <w:r w:rsidR="00AE2CEA" w:rsidRPr="0050741C">
        <w:rPr>
          <w:lang w:val="en-US"/>
        </w:rPr>
        <w:t>(Söderbaum, 2007</w:t>
      </w:r>
      <w:r w:rsidRPr="0050741C">
        <w:rPr>
          <w:lang w:val="en-US"/>
        </w:rPr>
        <w:t xml:space="preserve">). </w:t>
      </w:r>
      <w:r w:rsidR="000D086B">
        <w:rPr>
          <w:lang w:val="en-US"/>
        </w:rPr>
        <w:t>Yet,</w:t>
      </w:r>
      <w:r w:rsidR="00813A19" w:rsidRPr="0050741C">
        <w:rPr>
          <w:lang w:val="en-US"/>
        </w:rPr>
        <w:t xml:space="preserve"> </w:t>
      </w:r>
      <w:r w:rsidR="00D2621C" w:rsidRPr="0050741C">
        <w:rPr>
          <w:lang w:val="en-US"/>
        </w:rPr>
        <w:t>where</w:t>
      </w:r>
      <w:r w:rsidR="00813A19" w:rsidRPr="0050741C">
        <w:rPr>
          <w:lang w:val="en-US"/>
        </w:rPr>
        <w:t xml:space="preserve"> the selection of analysis criteria </w:t>
      </w:r>
      <w:r w:rsidR="00D2621C" w:rsidRPr="0050741C">
        <w:rPr>
          <w:lang w:val="en-US"/>
        </w:rPr>
        <w:t xml:space="preserve">is </w:t>
      </w:r>
      <w:r w:rsidR="00813A19" w:rsidRPr="0050741C">
        <w:rPr>
          <w:lang w:val="en-US"/>
        </w:rPr>
        <w:t xml:space="preserve">stated explicitly, </w:t>
      </w:r>
      <w:r w:rsidR="000D086B">
        <w:rPr>
          <w:lang w:val="en-US"/>
        </w:rPr>
        <w:t>in particular c</w:t>
      </w:r>
      <w:r w:rsidR="00813A19" w:rsidRPr="0050741C">
        <w:rPr>
          <w:lang w:val="en-US"/>
        </w:rPr>
        <w:t xml:space="preserve">omparative </w:t>
      </w:r>
      <w:r w:rsidR="000D086B">
        <w:rPr>
          <w:lang w:val="en-US"/>
        </w:rPr>
        <w:t>approaches to transport CBA can contribute to</w:t>
      </w:r>
      <w:r w:rsidR="00422B6E" w:rsidRPr="0050741C">
        <w:rPr>
          <w:lang w:val="en-US"/>
        </w:rPr>
        <w:t xml:space="preserve"> greater</w:t>
      </w:r>
      <w:r w:rsidR="00813A19" w:rsidRPr="0050741C">
        <w:rPr>
          <w:lang w:val="en-US"/>
        </w:rPr>
        <w:t xml:space="preserve"> consistency </w:t>
      </w:r>
      <w:r w:rsidR="00422B6E" w:rsidRPr="0050741C">
        <w:rPr>
          <w:lang w:val="en-US"/>
        </w:rPr>
        <w:t>and transparency</w:t>
      </w:r>
      <w:r w:rsidR="00D2621C" w:rsidRPr="0050741C">
        <w:rPr>
          <w:lang w:val="en-US"/>
        </w:rPr>
        <w:t xml:space="preserve">, providing a </w:t>
      </w:r>
      <w:r w:rsidR="00AF148F" w:rsidRPr="0050741C">
        <w:rPr>
          <w:lang w:val="en-US"/>
        </w:rPr>
        <w:t>more informed</w:t>
      </w:r>
      <w:r w:rsidR="00D2621C" w:rsidRPr="0050741C">
        <w:rPr>
          <w:lang w:val="en-US"/>
        </w:rPr>
        <w:t xml:space="preserve"> basis for decision-making</w:t>
      </w:r>
      <w:r w:rsidR="000D086B">
        <w:rPr>
          <w:lang w:val="en-US"/>
        </w:rPr>
        <w:t xml:space="preserve"> (Gössling et al. 2015)</w:t>
      </w:r>
      <w:r w:rsidR="00813A19" w:rsidRPr="0050741C">
        <w:rPr>
          <w:lang w:val="en-US"/>
        </w:rPr>
        <w:t xml:space="preserve">. </w:t>
      </w:r>
    </w:p>
    <w:p w14:paraId="5D130BD6" w14:textId="77777777" w:rsidR="001846D7" w:rsidRPr="0050741C" w:rsidRDefault="001846D7" w:rsidP="00901DF3">
      <w:pPr>
        <w:spacing w:line="480" w:lineRule="auto"/>
        <w:rPr>
          <w:lang w:val="en-US"/>
        </w:rPr>
      </w:pPr>
    </w:p>
    <w:p w14:paraId="3EB9F765" w14:textId="5E8D585F" w:rsidR="00BC1608" w:rsidRPr="0050741C" w:rsidRDefault="001846D7" w:rsidP="00901DF3">
      <w:pPr>
        <w:spacing w:line="480" w:lineRule="auto"/>
        <w:jc w:val="both"/>
        <w:rPr>
          <w:lang w:val="en-US"/>
        </w:rPr>
      </w:pPr>
      <w:r w:rsidRPr="0050741C">
        <w:rPr>
          <w:lang w:val="en-US"/>
        </w:rPr>
        <w:t xml:space="preserve">Given the cost of implementing new transport infrastructure (Hutton, 2013; Meschik, 2012), </w:t>
      </w:r>
      <w:r w:rsidR="00FD4DFF" w:rsidRPr="0050741C">
        <w:rPr>
          <w:lang w:val="en-US"/>
        </w:rPr>
        <w:t>as well as the</w:t>
      </w:r>
      <w:r w:rsidR="00B308B7" w:rsidRPr="0050741C">
        <w:rPr>
          <w:lang w:val="en-US"/>
        </w:rPr>
        <w:t xml:space="preserve"> importance assigned to </w:t>
      </w:r>
      <w:r w:rsidR="000D086B">
        <w:rPr>
          <w:lang w:val="en-US"/>
        </w:rPr>
        <w:t>the various transport modes</w:t>
      </w:r>
      <w:r w:rsidR="00B308B7" w:rsidRPr="0050741C">
        <w:rPr>
          <w:lang w:val="en-US"/>
        </w:rPr>
        <w:t xml:space="preserve"> in contemporary city planning</w:t>
      </w:r>
      <w:r w:rsidR="00FD4DFF" w:rsidRPr="0050741C">
        <w:rPr>
          <w:lang w:val="en-US"/>
        </w:rPr>
        <w:t xml:space="preserve">, </w:t>
      </w:r>
      <w:r w:rsidRPr="0050741C">
        <w:rPr>
          <w:lang w:val="en-US"/>
        </w:rPr>
        <w:t xml:space="preserve">various studies have addressed </w:t>
      </w:r>
      <w:r w:rsidR="000D086B">
        <w:rPr>
          <w:lang w:val="en-US"/>
        </w:rPr>
        <w:t xml:space="preserve">the </w:t>
      </w:r>
      <w:r w:rsidRPr="0050741C">
        <w:rPr>
          <w:lang w:val="en-US"/>
        </w:rPr>
        <w:t xml:space="preserve">cost associated with </w:t>
      </w:r>
      <w:r w:rsidR="000D086B">
        <w:rPr>
          <w:lang w:val="en-US"/>
        </w:rPr>
        <w:t>in particular the car</w:t>
      </w:r>
      <w:r w:rsidRPr="0050741C">
        <w:rPr>
          <w:lang w:val="en-US"/>
        </w:rPr>
        <w:t xml:space="preserve"> (Becker et al., 2012; CE Delft et al., 2011; Hopkinson </w:t>
      </w:r>
      <w:r w:rsidR="000735BA">
        <w:rPr>
          <w:lang w:val="en-US"/>
        </w:rPr>
        <w:t>&amp;</w:t>
      </w:r>
      <w:r w:rsidRPr="0050741C">
        <w:rPr>
          <w:lang w:val="en-US"/>
        </w:rPr>
        <w:t xml:space="preserve"> Wardman, 1996; Ortuzar et al., 2000; Krizek, 2007; Meschik, 2012; Rabl and de Nazelle, 2012; Rank et al., 2001). </w:t>
      </w:r>
      <w:r w:rsidR="00B308B7" w:rsidRPr="0050741C">
        <w:rPr>
          <w:lang w:val="en-US"/>
        </w:rPr>
        <w:t>However, t</w:t>
      </w:r>
      <w:r w:rsidR="0048674F" w:rsidRPr="0050741C">
        <w:rPr>
          <w:lang w:val="en-US"/>
        </w:rPr>
        <w:t>o date,</w:t>
      </w:r>
      <w:r w:rsidR="00B308B7" w:rsidRPr="0050741C">
        <w:rPr>
          <w:lang w:val="en-US"/>
        </w:rPr>
        <w:t xml:space="preserve"> a </w:t>
      </w:r>
      <w:r w:rsidR="00B308B7" w:rsidRPr="0050741C">
        <w:rPr>
          <w:i/>
          <w:lang w:val="en-US"/>
        </w:rPr>
        <w:t xml:space="preserve">comparative </w:t>
      </w:r>
      <w:r w:rsidR="0048674F" w:rsidRPr="0050741C">
        <w:rPr>
          <w:lang w:val="en-US"/>
        </w:rPr>
        <w:t>CBA framework</w:t>
      </w:r>
      <w:r w:rsidR="001E3C31" w:rsidRPr="0050741C">
        <w:rPr>
          <w:lang w:val="en-US"/>
        </w:rPr>
        <w:t xml:space="preserve"> </w:t>
      </w:r>
      <w:r w:rsidR="00AF148F" w:rsidRPr="0050741C">
        <w:rPr>
          <w:lang w:val="en-US"/>
        </w:rPr>
        <w:t xml:space="preserve">to juxtapose </w:t>
      </w:r>
      <w:r w:rsidR="000D086B">
        <w:rPr>
          <w:lang w:val="en-US"/>
        </w:rPr>
        <w:t xml:space="preserve">the cost of different </w:t>
      </w:r>
      <w:r w:rsidR="00AF148F" w:rsidRPr="0050741C">
        <w:rPr>
          <w:lang w:val="en-US"/>
        </w:rPr>
        <w:t xml:space="preserve">transport modes </w:t>
      </w:r>
      <w:r w:rsidR="001E3C31" w:rsidRPr="0050741C">
        <w:rPr>
          <w:lang w:val="en-US"/>
        </w:rPr>
        <w:t xml:space="preserve">appears to </w:t>
      </w:r>
      <w:r w:rsidR="000D086B">
        <w:rPr>
          <w:lang w:val="en-US"/>
        </w:rPr>
        <w:t xml:space="preserve">only be used in </w:t>
      </w:r>
      <w:r w:rsidR="004A1C0A" w:rsidRPr="0050741C">
        <w:rPr>
          <w:lang w:val="en-US"/>
        </w:rPr>
        <w:t>Copenhagen (</w:t>
      </w:r>
      <w:r w:rsidR="001E3C31" w:rsidRPr="0050741C">
        <w:rPr>
          <w:lang w:val="en-US"/>
        </w:rPr>
        <w:t xml:space="preserve">COWI </w:t>
      </w:r>
      <w:r w:rsidR="000735BA">
        <w:rPr>
          <w:lang w:val="en-US"/>
        </w:rPr>
        <w:t>&amp;</w:t>
      </w:r>
      <w:r w:rsidR="001E3C31" w:rsidRPr="0050741C">
        <w:rPr>
          <w:lang w:val="en-US"/>
        </w:rPr>
        <w:t xml:space="preserve"> City of Copenhagen 2009</w:t>
      </w:r>
      <w:r w:rsidR="004A1C0A" w:rsidRPr="0050741C">
        <w:rPr>
          <w:lang w:val="en-US"/>
        </w:rPr>
        <w:t xml:space="preserve">). </w:t>
      </w:r>
      <w:r w:rsidR="00B308B7" w:rsidRPr="0050741C">
        <w:rPr>
          <w:lang w:val="en-US"/>
        </w:rPr>
        <w:t>Against this background, t</w:t>
      </w:r>
      <w:r w:rsidR="004A1C0A" w:rsidRPr="0050741C">
        <w:rPr>
          <w:lang w:val="en-US"/>
        </w:rPr>
        <w:t xml:space="preserve">he purpose of this paper is to </w:t>
      </w:r>
      <w:r w:rsidR="00BC1608" w:rsidRPr="0050741C">
        <w:rPr>
          <w:lang w:val="en-US"/>
        </w:rPr>
        <w:t>review</w:t>
      </w:r>
      <w:r w:rsidR="00B308B7" w:rsidRPr="0050741C">
        <w:rPr>
          <w:lang w:val="en-US"/>
        </w:rPr>
        <w:t xml:space="preserve"> CBA </w:t>
      </w:r>
      <w:r w:rsidR="001E3C31" w:rsidRPr="0050741C">
        <w:rPr>
          <w:lang w:val="en-US"/>
        </w:rPr>
        <w:t>frameworks for transport infrastructure development</w:t>
      </w:r>
      <w:r w:rsidR="000D086B">
        <w:rPr>
          <w:lang w:val="en-US"/>
        </w:rPr>
        <w:t xml:space="preserve">, to discuss the comprehensiveness of the parameters included, and to </w:t>
      </w:r>
      <w:r w:rsidR="00B308B7" w:rsidRPr="0050741C">
        <w:rPr>
          <w:lang w:val="en-US"/>
        </w:rPr>
        <w:t xml:space="preserve">develop a </w:t>
      </w:r>
      <w:r w:rsidR="0033449C" w:rsidRPr="0050741C">
        <w:rPr>
          <w:lang w:val="en-US"/>
        </w:rPr>
        <w:t>comparative</w:t>
      </w:r>
      <w:r w:rsidR="001F73A1" w:rsidRPr="0050741C">
        <w:rPr>
          <w:lang w:val="en-US"/>
        </w:rPr>
        <w:t xml:space="preserve"> </w:t>
      </w:r>
      <w:r w:rsidR="0033449C" w:rsidRPr="0050741C">
        <w:rPr>
          <w:lang w:val="en-US"/>
        </w:rPr>
        <w:t>CBA framework for</w:t>
      </w:r>
      <w:r w:rsidR="001F73A1" w:rsidRPr="0050741C">
        <w:rPr>
          <w:lang w:val="en-US"/>
        </w:rPr>
        <w:t xml:space="preserve"> car</w:t>
      </w:r>
      <w:r w:rsidR="003B0653" w:rsidRPr="0050741C">
        <w:rPr>
          <w:lang w:val="en-US"/>
        </w:rPr>
        <w:t>,</w:t>
      </w:r>
      <w:r w:rsidR="001F73A1" w:rsidRPr="0050741C">
        <w:rPr>
          <w:lang w:val="en-US"/>
        </w:rPr>
        <w:t xml:space="preserve"> bicycle</w:t>
      </w:r>
      <w:r w:rsidR="003B0653" w:rsidRPr="0050741C">
        <w:rPr>
          <w:lang w:val="en-US"/>
        </w:rPr>
        <w:t>, and walking</w:t>
      </w:r>
      <w:r w:rsidR="000D086B">
        <w:rPr>
          <w:lang w:val="en-US"/>
        </w:rPr>
        <w:t>, along with unit cost estimates.</w:t>
      </w:r>
    </w:p>
    <w:p w14:paraId="7F54B1AF" w14:textId="77777777" w:rsidR="00B26DDB" w:rsidRPr="0050741C" w:rsidRDefault="00B26DDB" w:rsidP="00901DF3">
      <w:pPr>
        <w:spacing w:line="480" w:lineRule="auto"/>
        <w:jc w:val="both"/>
        <w:rPr>
          <w:b/>
          <w:lang w:val="en-US"/>
        </w:rPr>
      </w:pPr>
    </w:p>
    <w:p w14:paraId="6F31782A" w14:textId="77777777" w:rsidR="00B26DDB" w:rsidRPr="0050741C" w:rsidRDefault="00CE1FBF" w:rsidP="00901DF3">
      <w:pPr>
        <w:spacing w:line="480" w:lineRule="auto"/>
        <w:jc w:val="both"/>
        <w:outlineLvl w:val="0"/>
        <w:rPr>
          <w:b/>
          <w:lang w:val="en-US"/>
        </w:rPr>
      </w:pPr>
      <w:r w:rsidRPr="0050741C">
        <w:rPr>
          <w:b/>
          <w:lang w:val="en-US"/>
        </w:rPr>
        <w:t xml:space="preserve">2. </w:t>
      </w:r>
      <w:r w:rsidR="00B26DDB" w:rsidRPr="0050741C">
        <w:rPr>
          <w:b/>
          <w:lang w:val="en-US"/>
        </w:rPr>
        <w:t>C</w:t>
      </w:r>
      <w:r w:rsidR="0033449C" w:rsidRPr="0050741C">
        <w:rPr>
          <w:b/>
          <w:lang w:val="en-US"/>
        </w:rPr>
        <w:t>ost-benefit analysis</w:t>
      </w:r>
      <w:r w:rsidR="00B26DDB" w:rsidRPr="0050741C">
        <w:rPr>
          <w:b/>
          <w:lang w:val="en-US"/>
        </w:rPr>
        <w:t xml:space="preserve"> and its use in transport contexts</w:t>
      </w:r>
    </w:p>
    <w:p w14:paraId="57DBCB2F" w14:textId="76293A50" w:rsidR="006967FB" w:rsidRPr="0050741C" w:rsidRDefault="006872A2" w:rsidP="00901DF3">
      <w:pPr>
        <w:spacing w:line="480" w:lineRule="auto"/>
        <w:jc w:val="both"/>
        <w:rPr>
          <w:lang w:val="en-US"/>
        </w:rPr>
      </w:pPr>
      <w:r w:rsidRPr="0050741C">
        <w:rPr>
          <w:lang w:val="en-US"/>
        </w:rPr>
        <w:t>Traffic infrastructure development commonly relies on CBA to guide</w:t>
      </w:r>
      <w:r w:rsidR="004A4FA1" w:rsidRPr="0050741C">
        <w:rPr>
          <w:lang w:val="en-US"/>
        </w:rPr>
        <w:t xml:space="preserve"> investment decisions in public spending contexts (e.g. Boardman et al., 2010; Hanley </w:t>
      </w:r>
      <w:r w:rsidR="000735BA">
        <w:rPr>
          <w:lang w:val="en-US"/>
        </w:rPr>
        <w:t>&amp;</w:t>
      </w:r>
      <w:r w:rsidR="004A4FA1" w:rsidRPr="0050741C">
        <w:rPr>
          <w:lang w:val="en-US"/>
        </w:rPr>
        <w:t xml:space="preserve"> Spash, 1993). The use of CBA implicates that monetary value is assigned to the advantages and disadvantages of a project, which results in a net cost or benefit to society.</w:t>
      </w:r>
      <w:r w:rsidR="008E50B2" w:rsidRPr="0050741C">
        <w:rPr>
          <w:lang w:val="en-US"/>
        </w:rPr>
        <w:t xml:space="preserve"> D</w:t>
      </w:r>
      <w:r w:rsidR="00470ABB" w:rsidRPr="0050741C">
        <w:rPr>
          <w:lang w:val="en-US"/>
        </w:rPr>
        <w:t xml:space="preserve">ecisions regarding the desirability of specific investments </w:t>
      </w:r>
      <w:r w:rsidR="006967FB" w:rsidRPr="0050741C">
        <w:rPr>
          <w:lang w:val="en-US"/>
        </w:rPr>
        <w:t xml:space="preserve">become more </w:t>
      </w:r>
      <w:r w:rsidR="006D5EB7" w:rsidRPr="0050741C">
        <w:rPr>
          <w:lang w:val="en-US"/>
        </w:rPr>
        <w:t>transparent</w:t>
      </w:r>
      <w:r w:rsidR="008E50B2" w:rsidRPr="0050741C">
        <w:rPr>
          <w:lang w:val="en-US"/>
        </w:rPr>
        <w:t xml:space="preserve">, as CBA helps to determine whether an investment is economically sound, or whether an alternative project is more </w:t>
      </w:r>
      <w:r w:rsidR="00CB5133" w:rsidRPr="0050741C">
        <w:rPr>
          <w:lang w:val="en-US"/>
        </w:rPr>
        <w:t>favorable</w:t>
      </w:r>
      <w:r w:rsidR="008E50B2" w:rsidRPr="0050741C">
        <w:rPr>
          <w:lang w:val="en-US"/>
        </w:rPr>
        <w:t xml:space="preserve">. CBA </w:t>
      </w:r>
      <w:r w:rsidR="008E50B2" w:rsidRPr="0050741C">
        <w:rPr>
          <w:lang w:val="en-US"/>
        </w:rPr>
        <w:lastRenderedPageBreak/>
        <w:t>can consequently be used to justify projects economically, or to rank projects by assigning priorities (Transportation Economics 20</w:t>
      </w:r>
      <w:r w:rsidR="00F456C2" w:rsidRPr="0050741C">
        <w:rPr>
          <w:lang w:val="en-US"/>
        </w:rPr>
        <w:t>17)</w:t>
      </w:r>
      <w:r w:rsidR="008E50B2" w:rsidRPr="0050741C">
        <w:rPr>
          <w:lang w:val="en-US"/>
        </w:rPr>
        <w:t xml:space="preserve">. </w:t>
      </w:r>
      <w:r w:rsidR="006967FB" w:rsidRPr="0050741C">
        <w:rPr>
          <w:lang w:val="en-US"/>
        </w:rPr>
        <w:t xml:space="preserve">However, CBA as a decision-making tool </w:t>
      </w:r>
      <w:r w:rsidR="00986D6E" w:rsidRPr="0050741C">
        <w:rPr>
          <w:lang w:val="en-US"/>
        </w:rPr>
        <w:t xml:space="preserve">also has </w:t>
      </w:r>
      <w:r w:rsidR="007F160B" w:rsidRPr="0050741C">
        <w:rPr>
          <w:lang w:val="en-US"/>
        </w:rPr>
        <w:t>weaknesses</w:t>
      </w:r>
      <w:r w:rsidR="00CF4214" w:rsidRPr="0050741C">
        <w:rPr>
          <w:lang w:val="en-US"/>
        </w:rPr>
        <w:t>, such as the</w:t>
      </w:r>
      <w:r w:rsidR="007F160B" w:rsidRPr="0050741C">
        <w:rPr>
          <w:lang w:val="en-US"/>
        </w:rPr>
        <w:t xml:space="preserve"> subjective</w:t>
      </w:r>
      <w:r w:rsidR="00CF4214" w:rsidRPr="0050741C">
        <w:rPr>
          <w:lang w:val="en-US"/>
        </w:rPr>
        <w:t xml:space="preserve"> choice of items</w:t>
      </w:r>
      <w:r w:rsidR="006967FB" w:rsidRPr="0050741C">
        <w:rPr>
          <w:lang w:val="en-US"/>
        </w:rPr>
        <w:t xml:space="preserve"> to be included in the analysis; the </w:t>
      </w:r>
      <w:r w:rsidR="00891EBD" w:rsidRPr="0050741C">
        <w:rPr>
          <w:lang w:val="en-US"/>
        </w:rPr>
        <w:t>allocation</w:t>
      </w:r>
      <w:r w:rsidR="006967FB" w:rsidRPr="0050741C">
        <w:rPr>
          <w:lang w:val="en-US"/>
        </w:rPr>
        <w:t xml:space="preserve"> of monetary values</w:t>
      </w:r>
      <w:r w:rsidR="00466E5B" w:rsidRPr="0050741C">
        <w:rPr>
          <w:lang w:val="en-US"/>
        </w:rPr>
        <w:t xml:space="preserve"> (unit costs)</w:t>
      </w:r>
      <w:r w:rsidR="006967FB" w:rsidRPr="0050741C">
        <w:rPr>
          <w:lang w:val="en-US"/>
        </w:rPr>
        <w:t xml:space="preserve">, </w:t>
      </w:r>
      <w:r w:rsidR="00891EBD" w:rsidRPr="0050741C">
        <w:rPr>
          <w:lang w:val="en-US"/>
        </w:rPr>
        <w:t>for which there may be no</w:t>
      </w:r>
      <w:r w:rsidR="00466E5B" w:rsidRPr="0050741C">
        <w:rPr>
          <w:lang w:val="en-US"/>
        </w:rPr>
        <w:t xml:space="preserve"> market values; </w:t>
      </w:r>
      <w:r w:rsidR="006967FB" w:rsidRPr="0050741C">
        <w:rPr>
          <w:lang w:val="en-US"/>
        </w:rPr>
        <w:t xml:space="preserve">as well as the </w:t>
      </w:r>
      <w:r w:rsidR="00466E5B" w:rsidRPr="0050741C">
        <w:rPr>
          <w:lang w:val="en-US"/>
        </w:rPr>
        <w:t>identification of a</w:t>
      </w:r>
      <w:r w:rsidR="006967FB" w:rsidRPr="0050741C">
        <w:rPr>
          <w:lang w:val="en-US"/>
        </w:rPr>
        <w:t>ppropriate time horizons, span</w:t>
      </w:r>
      <w:r w:rsidR="007F160B" w:rsidRPr="0050741C">
        <w:rPr>
          <w:lang w:val="en-US"/>
        </w:rPr>
        <w:t>ning</w:t>
      </w:r>
      <w:r w:rsidR="006967FB" w:rsidRPr="0050741C">
        <w:rPr>
          <w:lang w:val="en-US"/>
        </w:rPr>
        <w:t xml:space="preserve"> generations. Further difficulties arise out of</w:t>
      </w:r>
      <w:r w:rsidR="00933BE0" w:rsidRPr="0050741C">
        <w:rPr>
          <w:lang w:val="en-US"/>
        </w:rPr>
        <w:t xml:space="preserve"> value incommensurabi</w:t>
      </w:r>
      <w:r w:rsidR="006967FB" w:rsidRPr="0050741C">
        <w:rPr>
          <w:lang w:val="en-US"/>
        </w:rPr>
        <w:t xml:space="preserve">lity and </w:t>
      </w:r>
      <w:r w:rsidR="00891EBD" w:rsidRPr="0050741C">
        <w:rPr>
          <w:lang w:val="en-US"/>
        </w:rPr>
        <w:t xml:space="preserve">issues of </w:t>
      </w:r>
      <w:r w:rsidR="006967FB" w:rsidRPr="0050741C">
        <w:rPr>
          <w:lang w:val="en-US"/>
        </w:rPr>
        <w:t xml:space="preserve">fairness (Bithas, 2011; Hanley </w:t>
      </w:r>
      <w:r w:rsidR="000735BA">
        <w:rPr>
          <w:lang w:val="en-US"/>
        </w:rPr>
        <w:t xml:space="preserve">&amp; </w:t>
      </w:r>
      <w:r w:rsidR="006967FB" w:rsidRPr="0050741C">
        <w:rPr>
          <w:lang w:val="en-US"/>
        </w:rPr>
        <w:t>Spash, 1993</w:t>
      </w:r>
      <w:r w:rsidR="00933BE0" w:rsidRPr="0050741C">
        <w:rPr>
          <w:lang w:val="en-US"/>
        </w:rPr>
        <w:t xml:space="preserve">). </w:t>
      </w:r>
      <w:r w:rsidR="006967FB" w:rsidRPr="0050741C">
        <w:rPr>
          <w:lang w:val="en-US"/>
        </w:rPr>
        <w:t>There is consequently a risk</w:t>
      </w:r>
      <w:r w:rsidR="007F160B" w:rsidRPr="0050741C">
        <w:rPr>
          <w:lang w:val="en-US"/>
        </w:rPr>
        <w:t xml:space="preserve"> that a</w:t>
      </w:r>
      <w:r w:rsidR="00933BE0" w:rsidRPr="0050741C">
        <w:rPr>
          <w:lang w:val="en-US"/>
        </w:rPr>
        <w:t xml:space="preserve"> CBA </w:t>
      </w:r>
      <w:r w:rsidR="00466E5B" w:rsidRPr="0050741C">
        <w:rPr>
          <w:lang w:val="en-US"/>
        </w:rPr>
        <w:t>process is</w:t>
      </w:r>
      <w:r w:rsidR="006967FB" w:rsidRPr="0050741C">
        <w:rPr>
          <w:lang w:val="en-US"/>
        </w:rPr>
        <w:t xml:space="preserve"> reductionist, </w:t>
      </w:r>
      <w:r w:rsidR="00933BE0" w:rsidRPr="0050741C">
        <w:rPr>
          <w:lang w:val="en-US"/>
        </w:rPr>
        <w:t>valuing i</w:t>
      </w:r>
      <w:r w:rsidR="006967FB" w:rsidRPr="0050741C">
        <w:rPr>
          <w:lang w:val="en-US"/>
        </w:rPr>
        <w:t>mpacts only in economic terms</w:t>
      </w:r>
      <w:r w:rsidR="00933BE0" w:rsidRPr="0050741C">
        <w:rPr>
          <w:lang w:val="en-US"/>
        </w:rPr>
        <w:t xml:space="preserve">, </w:t>
      </w:r>
      <w:r w:rsidR="00891EBD" w:rsidRPr="0050741C">
        <w:rPr>
          <w:lang w:val="en-US"/>
        </w:rPr>
        <w:t>while</w:t>
      </w:r>
      <w:r w:rsidR="006967FB" w:rsidRPr="0050741C">
        <w:rPr>
          <w:lang w:val="en-US"/>
        </w:rPr>
        <w:t xml:space="preserve"> </w:t>
      </w:r>
      <w:r w:rsidR="00933BE0" w:rsidRPr="0050741C">
        <w:rPr>
          <w:lang w:val="en-US"/>
        </w:rPr>
        <w:t>lack</w:t>
      </w:r>
      <w:r w:rsidR="007F160B" w:rsidRPr="0050741C">
        <w:rPr>
          <w:lang w:val="en-US"/>
        </w:rPr>
        <w:t>ing</w:t>
      </w:r>
      <w:r w:rsidR="00933BE0" w:rsidRPr="0050741C">
        <w:rPr>
          <w:lang w:val="en-US"/>
        </w:rPr>
        <w:t xml:space="preserve"> transp</w:t>
      </w:r>
      <w:r w:rsidR="006967FB" w:rsidRPr="0050741C">
        <w:rPr>
          <w:lang w:val="en-US"/>
        </w:rPr>
        <w:t>arency and public participation</w:t>
      </w:r>
      <w:r w:rsidR="00466E5B" w:rsidRPr="0050741C">
        <w:rPr>
          <w:lang w:val="en-US"/>
        </w:rPr>
        <w:t xml:space="preserve">. Weaknesses also include that CBA </w:t>
      </w:r>
      <w:r w:rsidR="00933BE0" w:rsidRPr="0050741C">
        <w:rPr>
          <w:lang w:val="en-US"/>
        </w:rPr>
        <w:t xml:space="preserve">may fail to adequately represent </w:t>
      </w:r>
      <w:r w:rsidR="00C40B01" w:rsidRPr="0050741C">
        <w:rPr>
          <w:lang w:val="en-US"/>
        </w:rPr>
        <w:t>effects outside markets</w:t>
      </w:r>
      <w:r w:rsidR="00933BE0" w:rsidRPr="0050741C">
        <w:rPr>
          <w:lang w:val="en-US"/>
        </w:rPr>
        <w:t xml:space="preserve"> or double count </w:t>
      </w:r>
      <w:r w:rsidR="0053560B">
        <w:rPr>
          <w:lang w:val="en-US"/>
        </w:rPr>
        <w:t>effects</w:t>
      </w:r>
      <w:r w:rsidR="00891EBD" w:rsidRPr="0050741C">
        <w:rPr>
          <w:lang w:val="en-US"/>
        </w:rPr>
        <w:t xml:space="preserve"> (Annema et al., 2007). </w:t>
      </w:r>
    </w:p>
    <w:p w14:paraId="260EA184" w14:textId="77777777" w:rsidR="006967FB" w:rsidRPr="0050741C" w:rsidRDefault="006967FB" w:rsidP="00901DF3">
      <w:pPr>
        <w:spacing w:line="480" w:lineRule="auto"/>
        <w:jc w:val="both"/>
        <w:rPr>
          <w:lang w:val="en-US"/>
        </w:rPr>
      </w:pPr>
    </w:p>
    <w:p w14:paraId="1A571DD2" w14:textId="78F15AEC" w:rsidR="00933BE0" w:rsidRPr="0050741C" w:rsidRDefault="00933BE0" w:rsidP="00901DF3">
      <w:pPr>
        <w:spacing w:line="480" w:lineRule="auto"/>
        <w:jc w:val="both"/>
        <w:rPr>
          <w:lang w:val="en-US"/>
        </w:rPr>
      </w:pPr>
      <w:r w:rsidRPr="0050741C">
        <w:rPr>
          <w:lang w:val="en-US"/>
        </w:rPr>
        <w:t xml:space="preserve">Despite these limitations, </w:t>
      </w:r>
      <w:r w:rsidR="00466E5B" w:rsidRPr="0050741C">
        <w:rPr>
          <w:lang w:val="en-US"/>
        </w:rPr>
        <w:t xml:space="preserve">CBA is a commonly employed and widely </w:t>
      </w:r>
      <w:r w:rsidRPr="0050741C">
        <w:rPr>
          <w:lang w:val="en-US"/>
        </w:rPr>
        <w:t xml:space="preserve">accepted economic tool in </w:t>
      </w:r>
      <w:r w:rsidR="00DD18FE" w:rsidRPr="0050741C">
        <w:rPr>
          <w:lang w:val="en-US"/>
        </w:rPr>
        <w:t xml:space="preserve">transportation </w:t>
      </w:r>
      <w:r w:rsidR="00BD728D" w:rsidRPr="0050741C">
        <w:rPr>
          <w:lang w:val="en-US"/>
        </w:rPr>
        <w:t>contexts</w:t>
      </w:r>
      <w:r w:rsidRPr="0050741C">
        <w:rPr>
          <w:lang w:val="en-US"/>
        </w:rPr>
        <w:t xml:space="preserve">, </w:t>
      </w:r>
      <w:r w:rsidR="00BD728D" w:rsidRPr="0050741C">
        <w:rPr>
          <w:lang w:val="en-US"/>
        </w:rPr>
        <w:t>specifically</w:t>
      </w:r>
      <w:r w:rsidRPr="0050741C">
        <w:rPr>
          <w:lang w:val="en-US"/>
        </w:rPr>
        <w:t xml:space="preserve"> investments in infrastructure</w:t>
      </w:r>
      <w:r w:rsidR="006967FB" w:rsidRPr="0050741C">
        <w:rPr>
          <w:lang w:val="en-US"/>
        </w:rPr>
        <w:t xml:space="preserve"> (</w:t>
      </w:r>
      <w:r w:rsidR="00466E5B" w:rsidRPr="0050741C">
        <w:rPr>
          <w:lang w:val="en-US"/>
        </w:rPr>
        <w:t xml:space="preserve">e.g. </w:t>
      </w:r>
      <w:r w:rsidR="00F456C2" w:rsidRPr="0050741C">
        <w:rPr>
          <w:lang w:val="en-US"/>
        </w:rPr>
        <w:t>EC</w:t>
      </w:r>
      <w:r w:rsidR="00286455" w:rsidRPr="0050741C">
        <w:rPr>
          <w:lang w:val="en-US"/>
        </w:rPr>
        <w:t>,</w:t>
      </w:r>
      <w:r w:rsidR="00466E5B" w:rsidRPr="0050741C">
        <w:rPr>
          <w:lang w:val="en-US"/>
        </w:rPr>
        <w:t xml:space="preserve"> 2014; </w:t>
      </w:r>
      <w:r w:rsidR="006967FB" w:rsidRPr="0050741C">
        <w:rPr>
          <w:lang w:val="en-US"/>
        </w:rPr>
        <w:t>for</w:t>
      </w:r>
      <w:r w:rsidR="00AB2ADF" w:rsidRPr="0050741C">
        <w:rPr>
          <w:lang w:val="en-US"/>
        </w:rPr>
        <w:t xml:space="preserve"> critical discussions see </w:t>
      </w:r>
      <w:r w:rsidR="006967FB" w:rsidRPr="0050741C">
        <w:rPr>
          <w:lang w:val="en-US"/>
        </w:rPr>
        <w:t xml:space="preserve">Bithas, 2011; Hutton, 2013; Parks </w:t>
      </w:r>
      <w:r w:rsidR="00286455" w:rsidRPr="0050741C">
        <w:rPr>
          <w:lang w:val="en-US"/>
        </w:rPr>
        <w:t xml:space="preserve">&amp; </w:t>
      </w:r>
      <w:r w:rsidR="006967FB" w:rsidRPr="0050741C">
        <w:rPr>
          <w:lang w:val="en-US"/>
        </w:rPr>
        <w:t>Gowdy, 2013)</w:t>
      </w:r>
      <w:r w:rsidRPr="0050741C">
        <w:rPr>
          <w:lang w:val="en-US"/>
        </w:rPr>
        <w:t xml:space="preserve">. </w:t>
      </w:r>
      <w:r w:rsidR="00BD728D" w:rsidRPr="0050741C">
        <w:rPr>
          <w:lang w:val="en-US"/>
        </w:rPr>
        <w:t xml:space="preserve">CBA is </w:t>
      </w:r>
      <w:r w:rsidRPr="0050741C">
        <w:rPr>
          <w:lang w:val="en-US"/>
        </w:rPr>
        <w:t>not a comprehensive solution to understanding a project’s impacts (Hanley &amp; Spash, 1993)</w:t>
      </w:r>
      <w:r w:rsidR="00BD728D" w:rsidRPr="0050741C">
        <w:rPr>
          <w:lang w:val="en-US"/>
        </w:rPr>
        <w:t>. However, where it is used</w:t>
      </w:r>
      <w:r w:rsidRPr="0050741C">
        <w:rPr>
          <w:lang w:val="en-US"/>
        </w:rPr>
        <w:t xml:space="preserve"> </w:t>
      </w:r>
      <w:r w:rsidR="00BD728D" w:rsidRPr="0050741C">
        <w:rPr>
          <w:lang w:val="en-US"/>
        </w:rPr>
        <w:t xml:space="preserve">as </w:t>
      </w:r>
      <w:r w:rsidRPr="0050741C">
        <w:rPr>
          <w:lang w:val="en-US"/>
        </w:rPr>
        <w:t xml:space="preserve">a component in the </w:t>
      </w:r>
      <w:r w:rsidR="006967FB" w:rsidRPr="0050741C">
        <w:rPr>
          <w:lang w:val="en-US"/>
        </w:rPr>
        <w:t>decision-making</w:t>
      </w:r>
      <w:r w:rsidRPr="0050741C">
        <w:rPr>
          <w:lang w:val="en-US"/>
        </w:rPr>
        <w:t xml:space="preserve"> process </w:t>
      </w:r>
      <w:r w:rsidR="00BD728D" w:rsidRPr="0050741C">
        <w:rPr>
          <w:lang w:val="en-US"/>
        </w:rPr>
        <w:t>that is</w:t>
      </w:r>
      <w:r w:rsidRPr="0050741C">
        <w:rPr>
          <w:lang w:val="en-US"/>
        </w:rPr>
        <w:t xml:space="preserve"> </w:t>
      </w:r>
      <w:r w:rsidR="000735BA">
        <w:rPr>
          <w:lang w:val="en-US"/>
        </w:rPr>
        <w:t>aligned</w:t>
      </w:r>
      <w:r w:rsidRPr="0050741C">
        <w:rPr>
          <w:lang w:val="en-US"/>
        </w:rPr>
        <w:t xml:space="preserve"> with stated policy and developed with input from a range of stakeholders and the public, </w:t>
      </w:r>
      <w:r w:rsidR="00BD728D" w:rsidRPr="0050741C">
        <w:rPr>
          <w:lang w:val="en-US"/>
        </w:rPr>
        <w:t xml:space="preserve">its </w:t>
      </w:r>
      <w:r w:rsidR="00FD69AE" w:rsidRPr="0050741C">
        <w:rPr>
          <w:lang w:val="en-US"/>
        </w:rPr>
        <w:t xml:space="preserve">weaknesses </w:t>
      </w:r>
      <w:r w:rsidR="00BD728D" w:rsidRPr="0050741C">
        <w:rPr>
          <w:lang w:val="en-US"/>
        </w:rPr>
        <w:t>can be mitigated</w:t>
      </w:r>
      <w:r w:rsidRPr="0050741C">
        <w:rPr>
          <w:lang w:val="en-US"/>
        </w:rPr>
        <w:t xml:space="preserve"> (Söderbaum, 2015). </w:t>
      </w:r>
      <w:r w:rsidR="00FD69AE" w:rsidRPr="0050741C">
        <w:rPr>
          <w:lang w:val="en-US"/>
        </w:rPr>
        <w:t>W</w:t>
      </w:r>
      <w:r w:rsidR="00BD728D" w:rsidRPr="0050741C">
        <w:rPr>
          <w:lang w:val="en-US"/>
        </w:rPr>
        <w:t>here</w:t>
      </w:r>
      <w:r w:rsidR="006B6C17" w:rsidRPr="0050741C">
        <w:rPr>
          <w:lang w:val="en-US"/>
        </w:rPr>
        <w:t xml:space="preserve"> CBA is used in non-traditional </w:t>
      </w:r>
      <w:r w:rsidR="00FD69AE" w:rsidRPr="0050741C">
        <w:rPr>
          <w:lang w:val="en-US"/>
        </w:rPr>
        <w:t>ways</w:t>
      </w:r>
      <w:r w:rsidR="006B6C17" w:rsidRPr="0050741C">
        <w:rPr>
          <w:lang w:val="en-US"/>
        </w:rPr>
        <w:t>, such as the comparison of different transport modes, it</w:t>
      </w:r>
      <w:r w:rsidR="00FD69AE" w:rsidRPr="0050741C">
        <w:rPr>
          <w:lang w:val="en-US"/>
        </w:rPr>
        <w:t xml:space="preserve">s outcomes may provide entirely new perspectives on </w:t>
      </w:r>
      <w:r w:rsidR="004676E2" w:rsidRPr="0050741C">
        <w:rPr>
          <w:lang w:val="en-US"/>
        </w:rPr>
        <w:t>investment decisions</w:t>
      </w:r>
      <w:r w:rsidR="00FD69AE" w:rsidRPr="0050741C">
        <w:rPr>
          <w:lang w:val="en-US"/>
        </w:rPr>
        <w:t xml:space="preserve"> in transport contexts</w:t>
      </w:r>
      <w:r w:rsidR="004676E2" w:rsidRPr="0050741C">
        <w:rPr>
          <w:lang w:val="en-US"/>
        </w:rPr>
        <w:t xml:space="preserve"> (Gössling </w:t>
      </w:r>
      <w:r w:rsidR="00286455" w:rsidRPr="0050741C">
        <w:rPr>
          <w:lang w:val="en-US"/>
        </w:rPr>
        <w:t>&amp;</w:t>
      </w:r>
      <w:r w:rsidR="004676E2" w:rsidRPr="0050741C">
        <w:rPr>
          <w:lang w:val="en-US"/>
        </w:rPr>
        <w:t xml:space="preserve"> Choi</w:t>
      </w:r>
      <w:r w:rsidR="00286455" w:rsidRPr="0050741C">
        <w:rPr>
          <w:lang w:val="en-US"/>
        </w:rPr>
        <w:t>,</w:t>
      </w:r>
      <w:r w:rsidR="004676E2" w:rsidRPr="0050741C">
        <w:rPr>
          <w:lang w:val="en-US"/>
        </w:rPr>
        <w:t xml:space="preserve"> 2015).</w:t>
      </w:r>
    </w:p>
    <w:p w14:paraId="1B1FC51A" w14:textId="77777777" w:rsidR="00253D9C" w:rsidRPr="0050741C" w:rsidRDefault="00253D9C" w:rsidP="00901DF3">
      <w:pPr>
        <w:spacing w:line="480" w:lineRule="auto"/>
        <w:rPr>
          <w:lang w:val="en-US"/>
        </w:rPr>
      </w:pPr>
    </w:p>
    <w:p w14:paraId="2CD938AF" w14:textId="431389D9" w:rsidR="00846E5B" w:rsidRPr="0050741C" w:rsidRDefault="00376664" w:rsidP="00901DF3">
      <w:pPr>
        <w:spacing w:line="480" w:lineRule="auto"/>
        <w:jc w:val="both"/>
        <w:rPr>
          <w:lang w:val="en-US"/>
        </w:rPr>
      </w:pPr>
      <w:r w:rsidRPr="0050741C">
        <w:rPr>
          <w:lang w:val="en-US"/>
        </w:rPr>
        <w:t>Existing</w:t>
      </w:r>
      <w:r w:rsidR="00891426" w:rsidRPr="0050741C">
        <w:rPr>
          <w:lang w:val="en-US"/>
        </w:rPr>
        <w:t xml:space="preserve"> CBA frameworks</w:t>
      </w:r>
      <w:r w:rsidRPr="0050741C">
        <w:rPr>
          <w:lang w:val="en-US"/>
        </w:rPr>
        <w:t xml:space="preserve"> have </w:t>
      </w:r>
      <w:r w:rsidR="00F01DF2" w:rsidRPr="0050741C">
        <w:rPr>
          <w:lang w:val="en-US"/>
        </w:rPr>
        <w:t>been based on different variables</w:t>
      </w:r>
      <w:r w:rsidR="00891426" w:rsidRPr="0050741C">
        <w:rPr>
          <w:lang w:val="en-US"/>
        </w:rPr>
        <w:t>, as well as economic values assigned to these variables (Grant-Muller et al.</w:t>
      </w:r>
      <w:r w:rsidR="00286455" w:rsidRPr="0050741C">
        <w:rPr>
          <w:lang w:val="en-US"/>
        </w:rPr>
        <w:t>,</w:t>
      </w:r>
      <w:r w:rsidR="00891426" w:rsidRPr="0050741C">
        <w:rPr>
          <w:lang w:val="en-US"/>
        </w:rPr>
        <w:t xml:space="preserve"> 2001). Given the importance of CBA for transport projects (Annema et al., 2007; </w:t>
      </w:r>
      <w:r w:rsidR="00286455" w:rsidRPr="0050741C">
        <w:rPr>
          <w:lang w:val="en-US"/>
        </w:rPr>
        <w:t>EC,</w:t>
      </w:r>
      <w:r w:rsidR="00891426" w:rsidRPr="0050741C">
        <w:rPr>
          <w:lang w:val="en-US"/>
        </w:rPr>
        <w:t xml:space="preserve"> 2014; Hutton, 2013; Knudsen </w:t>
      </w:r>
      <w:r w:rsidR="00286455" w:rsidRPr="0050741C">
        <w:rPr>
          <w:lang w:val="en-US"/>
        </w:rPr>
        <w:t>&amp;</w:t>
      </w:r>
      <w:r w:rsidR="00891426" w:rsidRPr="0050741C">
        <w:rPr>
          <w:lang w:val="en-US"/>
        </w:rPr>
        <w:t xml:space="preserve"> Rich, 2013), guidebooks for </w:t>
      </w:r>
      <w:r w:rsidR="00582752" w:rsidRPr="0050741C">
        <w:rPr>
          <w:lang w:val="en-US"/>
        </w:rPr>
        <w:t xml:space="preserve">transport planners </w:t>
      </w:r>
      <w:r w:rsidR="00891426" w:rsidRPr="0050741C">
        <w:rPr>
          <w:lang w:val="en-US"/>
        </w:rPr>
        <w:t xml:space="preserve">now seek to streamline CBA methodologies. </w:t>
      </w:r>
      <w:r w:rsidR="00582752" w:rsidRPr="0050741C">
        <w:rPr>
          <w:lang w:val="en-US"/>
        </w:rPr>
        <w:t xml:space="preserve">For example, </w:t>
      </w:r>
      <w:r w:rsidR="00582752" w:rsidRPr="0050741C">
        <w:rPr>
          <w:lang w:val="en-US"/>
        </w:rPr>
        <w:lastRenderedPageBreak/>
        <w:t>t</w:t>
      </w:r>
      <w:r w:rsidR="009E4DD8" w:rsidRPr="0050741C">
        <w:rPr>
          <w:lang w:val="en-US"/>
        </w:rPr>
        <w:t xml:space="preserve">he European Commission </w:t>
      </w:r>
      <w:r w:rsidR="00C35316" w:rsidRPr="0050741C">
        <w:rPr>
          <w:lang w:val="en-US"/>
        </w:rPr>
        <w:t>(</w:t>
      </w:r>
      <w:r w:rsidR="00286455" w:rsidRPr="0050741C">
        <w:rPr>
          <w:lang w:val="en-US"/>
        </w:rPr>
        <w:t xml:space="preserve">EC, </w:t>
      </w:r>
      <w:r w:rsidR="00C35316" w:rsidRPr="0050741C">
        <w:rPr>
          <w:lang w:val="en-US"/>
        </w:rPr>
        <w:t>2014</w:t>
      </w:r>
      <w:r w:rsidR="00196D36" w:rsidRPr="0050741C">
        <w:rPr>
          <w:lang w:val="en-US"/>
        </w:rPr>
        <w:t xml:space="preserve">) </w:t>
      </w:r>
      <w:r w:rsidR="00891426" w:rsidRPr="0050741C">
        <w:rPr>
          <w:lang w:val="en-US"/>
        </w:rPr>
        <w:t xml:space="preserve">published a guide to </w:t>
      </w:r>
      <w:r w:rsidR="00B242E4" w:rsidRPr="0050741C">
        <w:rPr>
          <w:lang w:val="en-US"/>
        </w:rPr>
        <w:t>CBA of i</w:t>
      </w:r>
      <w:r w:rsidR="00891426" w:rsidRPr="0050741C">
        <w:rPr>
          <w:lang w:val="en-US"/>
        </w:rPr>
        <w:t>nvestme</w:t>
      </w:r>
      <w:r w:rsidR="00B242E4" w:rsidRPr="0050741C">
        <w:rPr>
          <w:lang w:val="en-US"/>
        </w:rPr>
        <w:t>nt p</w:t>
      </w:r>
      <w:r w:rsidR="00891426" w:rsidRPr="0050741C">
        <w:rPr>
          <w:lang w:val="en-US"/>
        </w:rPr>
        <w:t>rojects, as it</w:t>
      </w:r>
      <w:r w:rsidR="00582752" w:rsidRPr="0050741C">
        <w:rPr>
          <w:lang w:val="en-US"/>
        </w:rPr>
        <w:t xml:space="preserve"> “promotes the use of cost-benefit a</w:t>
      </w:r>
      <w:r w:rsidR="00C35316" w:rsidRPr="0050741C">
        <w:rPr>
          <w:lang w:val="en-US"/>
        </w:rPr>
        <w:t>nalyses for major infrastructure projects above €50 million”</w:t>
      </w:r>
      <w:r w:rsidR="00891426" w:rsidRPr="0050741C">
        <w:rPr>
          <w:lang w:val="en-US"/>
        </w:rPr>
        <w:t xml:space="preserve"> (ibid</w:t>
      </w:r>
      <w:r w:rsidR="001226CD" w:rsidRPr="0050741C">
        <w:rPr>
          <w:lang w:val="en-US"/>
        </w:rPr>
        <w:t>.:</w:t>
      </w:r>
      <w:r w:rsidR="00891426" w:rsidRPr="0050741C">
        <w:rPr>
          <w:lang w:val="en-US"/>
        </w:rPr>
        <w:t xml:space="preserve"> 11)</w:t>
      </w:r>
      <w:r w:rsidR="00C35316" w:rsidRPr="0050741C">
        <w:rPr>
          <w:lang w:val="en-US"/>
        </w:rPr>
        <w:t xml:space="preserve">, of which over five hundred </w:t>
      </w:r>
      <w:r w:rsidR="00D2369B" w:rsidRPr="0050741C">
        <w:rPr>
          <w:lang w:val="en-US"/>
        </w:rPr>
        <w:t>are expected to be</w:t>
      </w:r>
      <w:r w:rsidR="00C35316" w:rsidRPr="0050741C">
        <w:rPr>
          <w:lang w:val="en-US"/>
        </w:rPr>
        <w:t xml:space="preserve"> implemented over the period 2014-2020</w:t>
      </w:r>
      <w:r w:rsidR="00D2369B" w:rsidRPr="0050741C">
        <w:rPr>
          <w:lang w:val="en-US"/>
        </w:rPr>
        <w:t xml:space="preserve"> in the EU</w:t>
      </w:r>
      <w:r w:rsidR="00C35316" w:rsidRPr="0050741C">
        <w:rPr>
          <w:lang w:val="en-US"/>
        </w:rPr>
        <w:t xml:space="preserve">. </w:t>
      </w:r>
      <w:r w:rsidR="00891426" w:rsidRPr="0050741C">
        <w:rPr>
          <w:lang w:val="en-US"/>
        </w:rPr>
        <w:t>I</w:t>
      </w:r>
      <w:r w:rsidR="00C35316" w:rsidRPr="0050741C">
        <w:rPr>
          <w:lang w:val="en-US"/>
        </w:rPr>
        <w:t>nvestment priorities include projects that support a “Single European Transport Area” in the trans-European transport network (TEN-T), projects that enhance regional mobility, and those that “develop and improve environmentally-friendly and low-carbon transport systems” (ibid</w:t>
      </w:r>
      <w:r w:rsidR="001226CD" w:rsidRPr="0050741C">
        <w:rPr>
          <w:lang w:val="en-US"/>
        </w:rPr>
        <w:t>.</w:t>
      </w:r>
      <w:r w:rsidR="00C35316" w:rsidRPr="0050741C">
        <w:rPr>
          <w:lang w:val="en-US"/>
        </w:rPr>
        <w:t xml:space="preserve">: 77). </w:t>
      </w:r>
      <w:r w:rsidR="00E749C7" w:rsidRPr="0050741C">
        <w:rPr>
          <w:lang w:val="en-US"/>
        </w:rPr>
        <w:t xml:space="preserve">An important part of EU CBA decisions </w:t>
      </w:r>
      <w:r w:rsidR="0063356E" w:rsidRPr="0050741C">
        <w:rPr>
          <w:lang w:val="en-US"/>
        </w:rPr>
        <w:t>is</w:t>
      </w:r>
      <w:r w:rsidR="00E749C7" w:rsidRPr="0050741C">
        <w:rPr>
          <w:lang w:val="en-US"/>
        </w:rPr>
        <w:t xml:space="preserve"> based on demand analyses, i.e. </w:t>
      </w:r>
      <w:r w:rsidR="0063356E" w:rsidRPr="0050741C">
        <w:rPr>
          <w:lang w:val="en-US"/>
        </w:rPr>
        <w:t xml:space="preserve">the forecasting of traffic volumes, and the provision of infrastructure to meet anticipated demand. </w:t>
      </w:r>
      <w:r w:rsidR="00846E5B" w:rsidRPr="0050741C">
        <w:rPr>
          <w:lang w:val="en-US"/>
        </w:rPr>
        <w:t>Similar tools, often software-based, are in use throughout the world</w:t>
      </w:r>
      <w:r w:rsidR="00476C3E" w:rsidRPr="0050741C">
        <w:rPr>
          <w:lang w:val="en-US"/>
        </w:rPr>
        <w:t xml:space="preserve"> </w:t>
      </w:r>
      <w:r w:rsidR="00846E5B" w:rsidRPr="0050741C">
        <w:rPr>
          <w:lang w:val="en-US"/>
        </w:rPr>
        <w:t>(Transportation Economics</w:t>
      </w:r>
      <w:r w:rsidR="00B61483" w:rsidRPr="0050741C">
        <w:rPr>
          <w:lang w:val="en-US"/>
        </w:rPr>
        <w:t>,</w:t>
      </w:r>
      <w:r w:rsidR="00846E5B" w:rsidRPr="0050741C">
        <w:rPr>
          <w:lang w:val="en-US"/>
        </w:rPr>
        <w:t xml:space="preserve"> 2017)</w:t>
      </w:r>
      <w:r w:rsidR="00813A19" w:rsidRPr="0050741C">
        <w:rPr>
          <w:lang w:val="en-US"/>
        </w:rPr>
        <w:t xml:space="preserve">. </w:t>
      </w:r>
      <w:r w:rsidR="00846E5B" w:rsidRPr="0050741C">
        <w:rPr>
          <w:lang w:val="en-US"/>
        </w:rPr>
        <w:t xml:space="preserve"> </w:t>
      </w:r>
    </w:p>
    <w:p w14:paraId="24605AEE" w14:textId="77777777" w:rsidR="00846E5B" w:rsidRPr="0050741C" w:rsidRDefault="00846E5B" w:rsidP="00901DF3">
      <w:pPr>
        <w:spacing w:line="480" w:lineRule="auto"/>
        <w:jc w:val="both"/>
        <w:rPr>
          <w:lang w:val="en-US"/>
        </w:rPr>
      </w:pPr>
    </w:p>
    <w:p w14:paraId="1F8D2FA2" w14:textId="41C48635" w:rsidR="00891426" w:rsidRPr="0050741C" w:rsidRDefault="00846E5B" w:rsidP="00901DF3">
      <w:pPr>
        <w:spacing w:line="480" w:lineRule="auto"/>
        <w:jc w:val="both"/>
        <w:rPr>
          <w:lang w:val="en-US"/>
        </w:rPr>
      </w:pPr>
      <w:r w:rsidRPr="0050741C">
        <w:rPr>
          <w:lang w:val="en-US"/>
        </w:rPr>
        <w:t xml:space="preserve">Transportation has a range of impacts, such </w:t>
      </w:r>
      <w:r w:rsidR="00511DC4" w:rsidRPr="0050741C">
        <w:rPr>
          <w:lang w:val="en-US"/>
        </w:rPr>
        <w:t>the sector’s contribution to climate change (</w:t>
      </w:r>
      <w:r w:rsidR="00232ED0" w:rsidRPr="0050741C">
        <w:rPr>
          <w:lang w:val="en-US"/>
        </w:rPr>
        <w:t>Stern 2006</w:t>
      </w:r>
      <w:r w:rsidR="00511DC4" w:rsidRPr="0050741C">
        <w:rPr>
          <w:lang w:val="en-US"/>
        </w:rPr>
        <w:t>), accidents (</w:t>
      </w:r>
      <w:r w:rsidR="009F3A78" w:rsidRPr="0050741C">
        <w:rPr>
          <w:lang w:val="en-US"/>
        </w:rPr>
        <w:t>Jacobs et al. 2000</w:t>
      </w:r>
      <w:r w:rsidRPr="0050741C">
        <w:rPr>
          <w:lang w:val="en-US"/>
        </w:rPr>
        <w:t>; WHO 2015), or health</w:t>
      </w:r>
      <w:r w:rsidR="00511DC4" w:rsidRPr="0050741C">
        <w:rPr>
          <w:lang w:val="en-US"/>
        </w:rPr>
        <w:t>, with for instance</w:t>
      </w:r>
      <w:r w:rsidR="00771376" w:rsidRPr="0050741C">
        <w:rPr>
          <w:lang w:val="en-US"/>
        </w:rPr>
        <w:t xml:space="preserve"> </w:t>
      </w:r>
      <w:r w:rsidR="00D43D7E" w:rsidRPr="0050741C">
        <w:rPr>
          <w:lang w:val="en-US"/>
        </w:rPr>
        <w:t>85% of airborne particulate pollution being linked to fossil fuel combustion (</w:t>
      </w:r>
      <w:r w:rsidR="001D5BAE" w:rsidRPr="0050741C">
        <w:rPr>
          <w:lang w:val="en-US"/>
        </w:rPr>
        <w:t>The Lancet</w:t>
      </w:r>
      <w:r w:rsidR="00D43D7E" w:rsidRPr="0050741C">
        <w:rPr>
          <w:lang w:val="en-US"/>
        </w:rPr>
        <w:t xml:space="preserve"> 2017).</w:t>
      </w:r>
      <w:r w:rsidR="00511DC4" w:rsidRPr="0050741C">
        <w:rPr>
          <w:lang w:val="en-US"/>
        </w:rPr>
        <w:t xml:space="preserve"> </w:t>
      </w:r>
      <w:r w:rsidR="001601A1" w:rsidRPr="0050741C">
        <w:rPr>
          <w:lang w:val="en-US"/>
        </w:rPr>
        <w:t>These constitute n</w:t>
      </w:r>
      <w:r w:rsidR="00B242E4" w:rsidRPr="0050741C">
        <w:rPr>
          <w:lang w:val="en-US"/>
        </w:rPr>
        <w:t>egative e</w:t>
      </w:r>
      <w:r w:rsidRPr="0050741C">
        <w:rPr>
          <w:lang w:val="en-US"/>
        </w:rPr>
        <w:t xml:space="preserve">xternalities </w:t>
      </w:r>
      <w:r w:rsidR="001601A1" w:rsidRPr="0050741C">
        <w:rPr>
          <w:lang w:val="en-US"/>
        </w:rPr>
        <w:t>that</w:t>
      </w:r>
      <w:r w:rsidRPr="0050741C">
        <w:rPr>
          <w:lang w:val="en-US"/>
        </w:rPr>
        <w:t xml:space="preserve"> need to be considered in CBA. </w:t>
      </w:r>
      <w:r w:rsidR="00511DC4" w:rsidRPr="0050741C">
        <w:rPr>
          <w:lang w:val="en-US"/>
        </w:rPr>
        <w:t>The European Environment Agency (2003) estimated</w:t>
      </w:r>
      <w:r w:rsidR="007B3AA3" w:rsidRPr="0050741C">
        <w:rPr>
          <w:lang w:val="en-US"/>
        </w:rPr>
        <w:t xml:space="preserve">, for example, that the </w:t>
      </w:r>
      <w:r w:rsidR="00117000" w:rsidRPr="0050741C">
        <w:rPr>
          <w:lang w:val="en-US"/>
        </w:rPr>
        <w:t xml:space="preserve">external cost </w:t>
      </w:r>
      <w:r w:rsidR="00511DC4" w:rsidRPr="0050741C">
        <w:rPr>
          <w:lang w:val="en-US"/>
        </w:rPr>
        <w:t xml:space="preserve">of transport </w:t>
      </w:r>
      <w:r w:rsidR="007B3AA3" w:rsidRPr="0050741C">
        <w:rPr>
          <w:lang w:val="en-US"/>
        </w:rPr>
        <w:t>is</w:t>
      </w:r>
      <w:r w:rsidR="00511DC4" w:rsidRPr="0050741C">
        <w:rPr>
          <w:lang w:val="en-US"/>
        </w:rPr>
        <w:t xml:space="preserve"> in the order of 8% of GDP in the EU plus Norway and Switzerland</w:t>
      </w:r>
      <w:r w:rsidR="001601A1" w:rsidRPr="0050741C">
        <w:rPr>
          <w:lang w:val="en-US"/>
        </w:rPr>
        <w:t xml:space="preserve">. Some </w:t>
      </w:r>
      <w:r w:rsidR="007B3AA3" w:rsidRPr="0050741C">
        <w:rPr>
          <w:lang w:val="en-US"/>
        </w:rPr>
        <w:t>5</w:t>
      </w:r>
      <w:r w:rsidR="001601A1" w:rsidRPr="0050741C">
        <w:rPr>
          <w:lang w:val="en-US"/>
        </w:rPr>
        <w:t>8% of this total is linked to cars</w:t>
      </w:r>
      <w:r w:rsidR="0008719C" w:rsidRPr="0050741C">
        <w:rPr>
          <w:lang w:val="en-US"/>
        </w:rPr>
        <w:t>, including</w:t>
      </w:r>
      <w:r w:rsidR="00AE1FD6" w:rsidRPr="0050741C">
        <w:rPr>
          <w:lang w:val="en-US"/>
        </w:rPr>
        <w:t xml:space="preserve"> accidents</w:t>
      </w:r>
      <w:r w:rsidR="007B3AA3" w:rsidRPr="0050741C">
        <w:rPr>
          <w:lang w:val="en-US"/>
        </w:rPr>
        <w:t xml:space="preserve">, noise, air pollution, climate change, </w:t>
      </w:r>
      <w:r w:rsidR="0056043B" w:rsidRPr="0050741C">
        <w:rPr>
          <w:lang w:val="en-US"/>
        </w:rPr>
        <w:t xml:space="preserve">and </w:t>
      </w:r>
      <w:r w:rsidR="006E27D0" w:rsidRPr="0050741C">
        <w:rPr>
          <w:lang w:val="en-US"/>
        </w:rPr>
        <w:t xml:space="preserve">related </w:t>
      </w:r>
      <w:r w:rsidR="007B3AA3" w:rsidRPr="0050741C">
        <w:rPr>
          <w:lang w:val="en-US"/>
        </w:rPr>
        <w:t>environmental impacts.</w:t>
      </w:r>
      <w:r w:rsidR="00511DC4" w:rsidRPr="0050741C">
        <w:rPr>
          <w:lang w:val="en-US"/>
        </w:rPr>
        <w:t xml:space="preserve"> In a</w:t>
      </w:r>
      <w:r w:rsidR="006E27D0" w:rsidRPr="0050741C">
        <w:rPr>
          <w:lang w:val="en-US"/>
        </w:rPr>
        <w:t xml:space="preserve"> more recent</w:t>
      </w:r>
      <w:r w:rsidR="00511DC4" w:rsidRPr="0050741C">
        <w:rPr>
          <w:lang w:val="en-US"/>
        </w:rPr>
        <w:t xml:space="preserve"> study, CE Delft, Infras and Fraunhofer ISI (CE Delft et al.</w:t>
      </w:r>
      <w:r w:rsidR="00286455" w:rsidRPr="0050741C">
        <w:rPr>
          <w:lang w:val="en-US"/>
        </w:rPr>
        <w:t>,</w:t>
      </w:r>
      <w:r w:rsidR="00511DC4" w:rsidRPr="0050741C">
        <w:rPr>
          <w:lang w:val="en-US"/>
        </w:rPr>
        <w:t xml:space="preserve"> 2011)</w:t>
      </w:r>
      <w:r w:rsidR="006E27D0" w:rsidRPr="0050741C">
        <w:rPr>
          <w:lang w:val="en-US"/>
        </w:rPr>
        <w:t xml:space="preserve"> calculated that</w:t>
      </w:r>
      <w:r w:rsidR="00511DC4" w:rsidRPr="0050741C">
        <w:rPr>
          <w:lang w:val="en-US"/>
        </w:rPr>
        <w:t xml:space="preserve"> </w:t>
      </w:r>
      <w:r w:rsidR="00B242E4" w:rsidRPr="0050741C">
        <w:rPr>
          <w:lang w:val="en-US"/>
        </w:rPr>
        <w:t xml:space="preserve">negative </w:t>
      </w:r>
      <w:r w:rsidR="00511DC4" w:rsidRPr="0050741C">
        <w:rPr>
          <w:lang w:val="en-US"/>
        </w:rPr>
        <w:t xml:space="preserve">transport externalities amounted to €500 billion </w:t>
      </w:r>
      <w:r w:rsidR="006E27D0" w:rsidRPr="0050741C">
        <w:rPr>
          <w:lang w:val="en-US"/>
        </w:rPr>
        <w:t xml:space="preserve">in the </w:t>
      </w:r>
      <w:r w:rsidR="00511DC4" w:rsidRPr="0050741C">
        <w:rPr>
          <w:lang w:val="en-US"/>
        </w:rPr>
        <w:t>EU27 plus Norway and Switzerland</w:t>
      </w:r>
      <w:r w:rsidR="006E27D0" w:rsidRPr="0050741C">
        <w:rPr>
          <w:lang w:val="en-US"/>
        </w:rPr>
        <w:t xml:space="preserve"> in 2008</w:t>
      </w:r>
      <w:r w:rsidR="00511DC4" w:rsidRPr="0050741C">
        <w:rPr>
          <w:lang w:val="en-US"/>
        </w:rPr>
        <w:t xml:space="preserve">, or 4% of total GDP. This </w:t>
      </w:r>
      <w:r w:rsidR="006E27D0" w:rsidRPr="0050741C">
        <w:rPr>
          <w:lang w:val="en-US"/>
        </w:rPr>
        <w:t>includes</w:t>
      </w:r>
      <w:r w:rsidR="00117000" w:rsidRPr="0050741C">
        <w:rPr>
          <w:lang w:val="en-US"/>
        </w:rPr>
        <w:t xml:space="preserve"> accidents, air pollution, climate change, noise and congestion, as well as other external costs linked to</w:t>
      </w:r>
      <w:r w:rsidR="00C767D0" w:rsidRPr="0050741C">
        <w:rPr>
          <w:lang w:val="en-US"/>
        </w:rPr>
        <w:t xml:space="preserve"> up and down</w:t>
      </w:r>
      <w:r w:rsidR="00F20092" w:rsidRPr="0050741C">
        <w:rPr>
          <w:lang w:val="en-US"/>
        </w:rPr>
        <w:t xml:space="preserve">stream </w:t>
      </w:r>
      <w:r w:rsidR="00117000" w:rsidRPr="0050741C">
        <w:rPr>
          <w:lang w:val="en-US"/>
        </w:rPr>
        <w:t>processes</w:t>
      </w:r>
      <w:r w:rsidR="006E27D0" w:rsidRPr="0050741C">
        <w:rPr>
          <w:lang w:val="en-US"/>
        </w:rPr>
        <w:t xml:space="preserve">, i.e. </w:t>
      </w:r>
      <w:r w:rsidR="00F20092" w:rsidRPr="0050741C">
        <w:rPr>
          <w:lang w:val="en-US"/>
        </w:rPr>
        <w:t>energy, vehicl</w:t>
      </w:r>
      <w:r w:rsidR="006E27D0" w:rsidRPr="0050741C">
        <w:rPr>
          <w:lang w:val="en-US"/>
        </w:rPr>
        <w:t>e</w:t>
      </w:r>
      <w:r w:rsidR="00673154" w:rsidRPr="0050741C">
        <w:rPr>
          <w:lang w:val="en-US"/>
        </w:rPr>
        <w:t xml:space="preserve">, </w:t>
      </w:r>
      <w:r w:rsidR="006E27D0" w:rsidRPr="0050741C">
        <w:rPr>
          <w:lang w:val="en-US"/>
        </w:rPr>
        <w:t>and infrastructure production</w:t>
      </w:r>
      <w:r w:rsidR="00F20092" w:rsidRPr="0050741C">
        <w:rPr>
          <w:lang w:val="en-US"/>
        </w:rPr>
        <w:t>.</w:t>
      </w:r>
      <w:r w:rsidR="00D7278A" w:rsidRPr="0050741C">
        <w:rPr>
          <w:lang w:val="en-US"/>
        </w:rPr>
        <w:t xml:space="preserve"> </w:t>
      </w:r>
      <w:r w:rsidR="006E27D0" w:rsidRPr="0050741C">
        <w:rPr>
          <w:lang w:val="en-US"/>
        </w:rPr>
        <w:t>In a global assessment, t</w:t>
      </w:r>
      <w:r w:rsidR="0079474C" w:rsidRPr="0050741C">
        <w:rPr>
          <w:lang w:val="en-US"/>
        </w:rPr>
        <w:t>he World Health Or</w:t>
      </w:r>
      <w:r w:rsidR="006E27D0" w:rsidRPr="0050741C">
        <w:rPr>
          <w:lang w:val="en-US"/>
        </w:rPr>
        <w:t>ganization (WHO</w:t>
      </w:r>
      <w:r w:rsidR="00286455" w:rsidRPr="0050741C">
        <w:rPr>
          <w:lang w:val="en-US"/>
        </w:rPr>
        <w:t>,</w:t>
      </w:r>
      <w:r w:rsidR="006E27D0" w:rsidRPr="0050741C">
        <w:rPr>
          <w:lang w:val="en-US"/>
        </w:rPr>
        <w:t xml:space="preserve"> 2015) quantified the cost of </w:t>
      </w:r>
      <w:r w:rsidR="0079474C" w:rsidRPr="0050741C">
        <w:rPr>
          <w:lang w:val="en-US"/>
        </w:rPr>
        <w:t xml:space="preserve">traffic deaths and injuries </w:t>
      </w:r>
      <w:r w:rsidR="006E27D0" w:rsidRPr="0050741C">
        <w:rPr>
          <w:lang w:val="en-US"/>
        </w:rPr>
        <w:t xml:space="preserve">to be </w:t>
      </w:r>
      <w:r w:rsidR="0079474C" w:rsidRPr="0050741C">
        <w:rPr>
          <w:lang w:val="en-US"/>
        </w:rPr>
        <w:t>equivalent of a 3% of global GDP.</w:t>
      </w:r>
      <w:r w:rsidR="006E27D0" w:rsidRPr="0050741C">
        <w:rPr>
          <w:lang w:val="en-US"/>
        </w:rPr>
        <w:t xml:space="preserve"> </w:t>
      </w:r>
      <w:r w:rsidR="00AE1FD6" w:rsidRPr="0050741C">
        <w:rPr>
          <w:lang w:val="en-US"/>
        </w:rPr>
        <w:t>T</w:t>
      </w:r>
      <w:r w:rsidR="00C627FA" w:rsidRPr="0050741C">
        <w:rPr>
          <w:lang w:val="en-US"/>
        </w:rPr>
        <w:t xml:space="preserve">he Lancet Commission (2017) </w:t>
      </w:r>
      <w:r w:rsidR="00C627FA" w:rsidRPr="0050741C">
        <w:rPr>
          <w:lang w:val="en-US"/>
        </w:rPr>
        <w:lastRenderedPageBreak/>
        <w:t xml:space="preserve">calculated that air pollution, to which transportation makes a significant contribution, is responsible for 16% of deaths worldwide, incurring welfare losses of US$4.6 trillion. </w:t>
      </w:r>
      <w:r w:rsidR="00B73E54" w:rsidRPr="0050741C">
        <w:rPr>
          <w:lang w:val="en-US"/>
        </w:rPr>
        <w:t xml:space="preserve">Given a world GDP of US$75.8 trillion in 2016 (World Bank 2017), this corresponds to 6% of world GDP. Even though no comprehensive, global assessment of motorized transportation’s negative externalities exists, </w:t>
      </w:r>
      <w:r w:rsidR="00DA75AC">
        <w:rPr>
          <w:lang w:val="en-US"/>
        </w:rPr>
        <w:t>evidence suggests</w:t>
      </w:r>
      <w:r w:rsidR="00B73E54" w:rsidRPr="0050741C">
        <w:rPr>
          <w:lang w:val="en-US"/>
        </w:rPr>
        <w:t xml:space="preserve"> that </w:t>
      </w:r>
      <w:r w:rsidR="00CA71A0" w:rsidRPr="0050741C">
        <w:rPr>
          <w:lang w:val="en-US"/>
        </w:rPr>
        <w:t>these are significant</w:t>
      </w:r>
      <w:r w:rsidR="00B61701" w:rsidRPr="0050741C">
        <w:rPr>
          <w:lang w:val="en-US"/>
        </w:rPr>
        <w:t xml:space="preserve"> (Becker et al. 2012; Santos </w:t>
      </w:r>
      <w:r w:rsidR="00C56717" w:rsidRPr="0050741C">
        <w:rPr>
          <w:lang w:val="en-US"/>
        </w:rPr>
        <w:t>2017)</w:t>
      </w:r>
      <w:r w:rsidR="00AE1FD6" w:rsidRPr="0050741C">
        <w:rPr>
          <w:lang w:val="en-US"/>
        </w:rPr>
        <w:t>.</w:t>
      </w:r>
    </w:p>
    <w:p w14:paraId="06692529" w14:textId="77777777" w:rsidR="00253D9C" w:rsidRPr="0050741C" w:rsidRDefault="00253D9C" w:rsidP="00901DF3">
      <w:pPr>
        <w:spacing w:line="480" w:lineRule="auto"/>
        <w:rPr>
          <w:lang w:val="en-US"/>
        </w:rPr>
      </w:pPr>
    </w:p>
    <w:p w14:paraId="0AC33811" w14:textId="4E7246C4" w:rsidR="000D40B9" w:rsidRPr="0050741C" w:rsidRDefault="00CA71A0" w:rsidP="00901DF3">
      <w:pPr>
        <w:spacing w:line="480" w:lineRule="auto"/>
        <w:jc w:val="both"/>
        <w:rPr>
          <w:lang w:val="en-US"/>
        </w:rPr>
      </w:pPr>
      <w:r w:rsidRPr="0050741C">
        <w:rPr>
          <w:lang w:val="en-US"/>
        </w:rPr>
        <w:t xml:space="preserve">Analyses of </w:t>
      </w:r>
      <w:r w:rsidR="0077421A" w:rsidRPr="0050741C">
        <w:rPr>
          <w:lang w:val="en-US"/>
        </w:rPr>
        <w:t xml:space="preserve">cycling </w:t>
      </w:r>
      <w:r w:rsidR="003D667D" w:rsidRPr="0050741C">
        <w:rPr>
          <w:lang w:val="en-US"/>
        </w:rPr>
        <w:t xml:space="preserve">externalities </w:t>
      </w:r>
      <w:r w:rsidR="0077421A" w:rsidRPr="0050741C">
        <w:rPr>
          <w:lang w:val="en-US"/>
        </w:rPr>
        <w:t>are rare</w:t>
      </w:r>
      <w:r w:rsidR="0079474C" w:rsidRPr="0050741C">
        <w:rPr>
          <w:lang w:val="en-US"/>
        </w:rPr>
        <w:t xml:space="preserve">. </w:t>
      </w:r>
      <w:r w:rsidR="00253D9C" w:rsidRPr="0050741C">
        <w:rPr>
          <w:lang w:val="en-US"/>
        </w:rPr>
        <w:t xml:space="preserve">Nelson (1995) </w:t>
      </w:r>
      <w:r w:rsidR="00D7278A" w:rsidRPr="0050741C">
        <w:rPr>
          <w:lang w:val="en-US"/>
        </w:rPr>
        <w:t>discussed the</w:t>
      </w:r>
      <w:r w:rsidR="00253D9C" w:rsidRPr="0050741C">
        <w:rPr>
          <w:lang w:val="en-US"/>
        </w:rPr>
        <w:t xml:space="preserve"> implementation </w:t>
      </w:r>
      <w:r w:rsidR="003D667D" w:rsidRPr="0050741C">
        <w:rPr>
          <w:lang w:val="en-US"/>
        </w:rPr>
        <w:t>of bicycle access ways</w:t>
      </w:r>
      <w:r w:rsidR="00D7278A" w:rsidRPr="0050741C">
        <w:rPr>
          <w:lang w:val="en-US"/>
        </w:rPr>
        <w:t xml:space="preserve"> as seen against</w:t>
      </w:r>
      <w:r w:rsidR="00253D9C" w:rsidRPr="0050741C">
        <w:rPr>
          <w:lang w:val="en-US"/>
        </w:rPr>
        <w:t xml:space="preserve"> the costs of air pollution, congestion, or noise. Buis (2000) provide</w:t>
      </w:r>
      <w:r w:rsidR="00D7278A" w:rsidRPr="0050741C">
        <w:rPr>
          <w:lang w:val="en-US"/>
        </w:rPr>
        <w:t>d</w:t>
      </w:r>
      <w:r w:rsidR="00253D9C" w:rsidRPr="0050741C">
        <w:rPr>
          <w:lang w:val="en-US"/>
        </w:rPr>
        <w:t xml:space="preserve"> cost-benefit </w:t>
      </w:r>
      <w:r w:rsidR="00D7278A" w:rsidRPr="0050741C">
        <w:rPr>
          <w:lang w:val="en-US"/>
        </w:rPr>
        <w:t>analyses</w:t>
      </w:r>
      <w:r w:rsidR="00253D9C" w:rsidRPr="0050741C">
        <w:rPr>
          <w:lang w:val="en-US"/>
        </w:rPr>
        <w:t xml:space="preserve"> for cycling in Amsterdam, Bogotá, Delhi and Morog</w:t>
      </w:r>
      <w:r w:rsidR="00D7278A" w:rsidRPr="0050741C">
        <w:rPr>
          <w:lang w:val="en-US"/>
        </w:rPr>
        <w:t>oro. Wittink</w:t>
      </w:r>
      <w:r w:rsidR="00AA5E37" w:rsidRPr="0050741C">
        <w:rPr>
          <w:lang w:val="en-US"/>
        </w:rPr>
        <w:t xml:space="preserve"> investigated non-motorized transport in relation to economic growth, poverty reduction and quality of urban life in the Netherlands (2001)</w:t>
      </w:r>
      <w:r w:rsidR="00253D9C" w:rsidRPr="0050741C">
        <w:rPr>
          <w:lang w:val="en-US"/>
        </w:rPr>
        <w:t xml:space="preserve">. Saelensminde (2002) </w:t>
      </w:r>
      <w:r w:rsidR="00F87FC8" w:rsidRPr="0050741C">
        <w:rPr>
          <w:lang w:val="en-US"/>
        </w:rPr>
        <w:t>studied</w:t>
      </w:r>
      <w:r w:rsidR="000915B6" w:rsidRPr="0050741C">
        <w:rPr>
          <w:lang w:val="en-US"/>
        </w:rPr>
        <w:t xml:space="preserve"> </w:t>
      </w:r>
      <w:r w:rsidR="00253D9C" w:rsidRPr="0050741C">
        <w:rPr>
          <w:lang w:val="en-US"/>
        </w:rPr>
        <w:t xml:space="preserve">CBAs for walking and cycle-track networks in </w:t>
      </w:r>
      <w:r w:rsidR="00D7278A" w:rsidRPr="0050741C">
        <w:rPr>
          <w:lang w:val="en-US"/>
        </w:rPr>
        <w:t>Norwegian cities.</w:t>
      </w:r>
      <w:r w:rsidR="00F87FC8" w:rsidRPr="0050741C">
        <w:rPr>
          <w:lang w:val="en-US"/>
        </w:rPr>
        <w:t xml:space="preserve"> All concluded that cycling makes positive contributions to the economy.</w:t>
      </w:r>
      <w:r w:rsidR="00253D9C" w:rsidRPr="0050741C">
        <w:rPr>
          <w:lang w:val="en-US"/>
        </w:rPr>
        <w:t xml:space="preserve"> </w:t>
      </w:r>
      <w:r w:rsidR="00797831" w:rsidRPr="0050741C">
        <w:rPr>
          <w:lang w:val="en-US"/>
        </w:rPr>
        <w:t xml:space="preserve">Only </w:t>
      </w:r>
      <w:r w:rsidR="0071361B">
        <w:rPr>
          <w:lang w:val="en-US"/>
        </w:rPr>
        <w:t>one</w:t>
      </w:r>
      <w:r w:rsidR="00CC0150" w:rsidRPr="0050741C">
        <w:rPr>
          <w:lang w:val="en-US"/>
        </w:rPr>
        <w:t xml:space="preserve"> </w:t>
      </w:r>
      <w:r w:rsidR="0071361B">
        <w:rPr>
          <w:lang w:val="en-US"/>
        </w:rPr>
        <w:t xml:space="preserve">CBA </w:t>
      </w:r>
      <w:r w:rsidR="00CC0150" w:rsidRPr="0050741C">
        <w:rPr>
          <w:lang w:val="en-US"/>
        </w:rPr>
        <w:t>framework</w:t>
      </w:r>
      <w:r w:rsidR="0071361B">
        <w:rPr>
          <w:lang w:val="en-US"/>
        </w:rPr>
        <w:t xml:space="preserve"> has been presented</w:t>
      </w:r>
      <w:r w:rsidR="00CC0150" w:rsidRPr="0050741C">
        <w:rPr>
          <w:lang w:val="en-US"/>
        </w:rPr>
        <w:t xml:space="preserve"> </w:t>
      </w:r>
      <w:r w:rsidR="00F87FC8" w:rsidRPr="0050741C">
        <w:rPr>
          <w:lang w:val="en-US"/>
        </w:rPr>
        <w:t>for</w:t>
      </w:r>
      <w:r w:rsidR="00797831" w:rsidRPr="0050741C">
        <w:rPr>
          <w:lang w:val="en-US"/>
        </w:rPr>
        <w:t xml:space="preserve"> </w:t>
      </w:r>
      <w:r w:rsidR="0071361B">
        <w:rPr>
          <w:lang w:val="en-US"/>
        </w:rPr>
        <w:t>walking</w:t>
      </w:r>
      <w:r w:rsidR="00797831" w:rsidRPr="0050741C">
        <w:rPr>
          <w:lang w:val="en-US"/>
        </w:rPr>
        <w:t>.</w:t>
      </w:r>
      <w:r w:rsidR="00CC0150" w:rsidRPr="0050741C">
        <w:rPr>
          <w:lang w:val="en-US"/>
        </w:rPr>
        <w:t xml:space="preserve"> Litman (2004) </w:t>
      </w:r>
      <w:r w:rsidR="0071361B">
        <w:rPr>
          <w:lang w:val="en-US"/>
        </w:rPr>
        <w:t>discussed</w:t>
      </w:r>
      <w:r w:rsidR="00F87FC8" w:rsidRPr="0050741C">
        <w:rPr>
          <w:lang w:val="en-US"/>
        </w:rPr>
        <w:t xml:space="preserve"> </w:t>
      </w:r>
      <w:r w:rsidR="0071361B">
        <w:rPr>
          <w:lang w:val="en-US"/>
        </w:rPr>
        <w:t xml:space="preserve">urban </w:t>
      </w:r>
      <w:r w:rsidR="00253D9C" w:rsidRPr="0050741C">
        <w:rPr>
          <w:lang w:val="en-US"/>
        </w:rPr>
        <w:t>livability, accessibility</w:t>
      </w:r>
      <w:r w:rsidR="00CC0150" w:rsidRPr="0050741C">
        <w:rPr>
          <w:lang w:val="en-US"/>
        </w:rPr>
        <w:t>, transport cost</w:t>
      </w:r>
      <w:r w:rsidR="00253D9C" w:rsidRPr="0050741C">
        <w:rPr>
          <w:lang w:val="en-US"/>
        </w:rPr>
        <w:t>, health, external costs, efficient land use, e</w:t>
      </w:r>
      <w:r w:rsidR="00F87FC8" w:rsidRPr="0050741C">
        <w:rPr>
          <w:lang w:val="en-US"/>
        </w:rPr>
        <w:t>conomic development and equity</w:t>
      </w:r>
      <w:r w:rsidR="00253D9C" w:rsidRPr="0050741C">
        <w:rPr>
          <w:lang w:val="en-US"/>
        </w:rPr>
        <w:t>. Studies by Meschik (2012</w:t>
      </w:r>
      <w:r w:rsidR="00CC0150" w:rsidRPr="0050741C">
        <w:rPr>
          <w:lang w:val="en-US"/>
        </w:rPr>
        <w:t>) and Rabl and de Nazelle (2012)</w:t>
      </w:r>
      <w:r w:rsidR="00253D9C" w:rsidRPr="0050741C">
        <w:rPr>
          <w:lang w:val="en-US"/>
        </w:rPr>
        <w:t xml:space="preserve"> </w:t>
      </w:r>
      <w:r w:rsidR="0071361B">
        <w:rPr>
          <w:lang w:val="en-US"/>
        </w:rPr>
        <w:t xml:space="preserve">assessed the cost of switching </w:t>
      </w:r>
      <w:r w:rsidR="00253D9C" w:rsidRPr="0050741C">
        <w:rPr>
          <w:lang w:val="en-US"/>
        </w:rPr>
        <w:t>from driving to bicycling (per individual or km cycled).</w:t>
      </w:r>
      <w:r w:rsidR="00F87FC8" w:rsidRPr="0050741C">
        <w:rPr>
          <w:lang w:val="en-US"/>
        </w:rPr>
        <w:t xml:space="preserve"> In Copenhagen, a study by COWI and City of Copenhagen (2009) compared</w:t>
      </w:r>
      <w:r w:rsidR="005F547C" w:rsidRPr="0050741C">
        <w:rPr>
          <w:lang w:val="en-US"/>
        </w:rPr>
        <w:t xml:space="preserve"> the cost of cars with bicycles</w:t>
      </w:r>
      <w:r w:rsidR="00F87FC8" w:rsidRPr="0050741C">
        <w:rPr>
          <w:lang w:val="en-US"/>
        </w:rPr>
        <w:t xml:space="preserve"> to derive conclusions regarding the financing of transpo</w:t>
      </w:r>
      <w:r w:rsidR="005F547C" w:rsidRPr="0050741C">
        <w:rPr>
          <w:lang w:val="en-US"/>
        </w:rPr>
        <w:t>rt infrastructure</w:t>
      </w:r>
      <w:r w:rsidR="0071361B">
        <w:rPr>
          <w:lang w:val="en-US"/>
        </w:rPr>
        <w:t xml:space="preserve">. This study has more recently been </w:t>
      </w:r>
      <w:r w:rsidR="005F547C" w:rsidRPr="0050741C">
        <w:rPr>
          <w:lang w:val="en-US"/>
        </w:rPr>
        <w:t xml:space="preserve">complemented with </w:t>
      </w:r>
      <w:r w:rsidR="0008719C" w:rsidRPr="0050741C">
        <w:rPr>
          <w:lang w:val="en-US"/>
        </w:rPr>
        <w:t>an economic analysis of walking in Copenhagen (Realise</w:t>
      </w:r>
      <w:r w:rsidR="002D5A64" w:rsidRPr="0050741C">
        <w:rPr>
          <w:lang w:val="en-US"/>
        </w:rPr>
        <w:t>,</w:t>
      </w:r>
      <w:r w:rsidR="0008719C" w:rsidRPr="0050741C">
        <w:rPr>
          <w:lang w:val="en-US"/>
        </w:rPr>
        <w:t xml:space="preserve"> 2018).</w:t>
      </w:r>
      <w:r w:rsidR="00F87FC8" w:rsidRPr="0050741C">
        <w:rPr>
          <w:lang w:val="en-US"/>
        </w:rPr>
        <w:t xml:space="preserve"> </w:t>
      </w:r>
      <w:r w:rsidR="00200769" w:rsidRPr="0050741C">
        <w:rPr>
          <w:lang w:val="en-US"/>
        </w:rPr>
        <w:t xml:space="preserve">In Canada, the Victoria Transport Policy Institute published a comprehensive comparison of car, bicycle, </w:t>
      </w:r>
      <w:r w:rsidR="0008719C" w:rsidRPr="0050741C">
        <w:rPr>
          <w:lang w:val="en-US"/>
        </w:rPr>
        <w:t>walking and other transport modes</w:t>
      </w:r>
      <w:r w:rsidR="00841824">
        <w:rPr>
          <w:lang w:val="en-US"/>
        </w:rPr>
        <w:t xml:space="preserve"> (Litman and Doherty 2011)</w:t>
      </w:r>
      <w:r w:rsidR="00200769" w:rsidRPr="0050741C">
        <w:rPr>
          <w:lang w:val="en-US"/>
        </w:rPr>
        <w:t xml:space="preserve">. </w:t>
      </w:r>
      <w:r w:rsidR="00F87FC8" w:rsidRPr="0050741C">
        <w:rPr>
          <w:lang w:val="en-US"/>
        </w:rPr>
        <w:t>All studies found substantial benefits of cycling</w:t>
      </w:r>
      <w:r w:rsidR="0008719C" w:rsidRPr="0050741C">
        <w:rPr>
          <w:lang w:val="en-US"/>
        </w:rPr>
        <w:t xml:space="preserve"> and walking</w:t>
      </w:r>
      <w:r w:rsidR="00F87FC8" w:rsidRPr="0050741C">
        <w:rPr>
          <w:lang w:val="en-US"/>
        </w:rPr>
        <w:t xml:space="preserve"> over the car.</w:t>
      </w:r>
      <w:r w:rsidR="00253D9C" w:rsidRPr="0050741C">
        <w:rPr>
          <w:lang w:val="en-US"/>
        </w:rPr>
        <w:t xml:space="preserve"> </w:t>
      </w:r>
    </w:p>
    <w:p w14:paraId="7E4A910E" w14:textId="77777777" w:rsidR="00581591" w:rsidRPr="0050741C" w:rsidRDefault="00581591" w:rsidP="00901DF3">
      <w:pPr>
        <w:spacing w:line="480" w:lineRule="auto"/>
        <w:jc w:val="both"/>
        <w:rPr>
          <w:lang w:val="en-US"/>
        </w:rPr>
      </w:pPr>
    </w:p>
    <w:p w14:paraId="0DABBEB9" w14:textId="62B0E662" w:rsidR="00394E5D" w:rsidRPr="0050741C" w:rsidRDefault="00200769" w:rsidP="00901DF3">
      <w:pPr>
        <w:spacing w:line="480" w:lineRule="auto"/>
        <w:jc w:val="both"/>
        <w:rPr>
          <w:lang w:val="en-US"/>
        </w:rPr>
      </w:pPr>
      <w:r w:rsidRPr="0050741C">
        <w:rPr>
          <w:lang w:val="en-US"/>
        </w:rPr>
        <w:lastRenderedPageBreak/>
        <w:t>Existing</w:t>
      </w:r>
      <w:r w:rsidR="00A9330C" w:rsidRPr="0050741C">
        <w:rPr>
          <w:lang w:val="en-US"/>
        </w:rPr>
        <w:t xml:space="preserve"> </w:t>
      </w:r>
      <w:r w:rsidR="00917929" w:rsidRPr="0050741C">
        <w:rPr>
          <w:lang w:val="en-US"/>
        </w:rPr>
        <w:t>CBA frameworks</w:t>
      </w:r>
      <w:r w:rsidR="005E36A6" w:rsidRPr="0050741C">
        <w:rPr>
          <w:lang w:val="en-US"/>
        </w:rPr>
        <w:t xml:space="preserve"> can </w:t>
      </w:r>
      <w:r w:rsidR="00153671">
        <w:rPr>
          <w:lang w:val="en-US"/>
        </w:rPr>
        <w:t>be</w:t>
      </w:r>
      <w:r w:rsidR="005E36A6" w:rsidRPr="0050741C">
        <w:rPr>
          <w:lang w:val="en-US"/>
        </w:rPr>
        <w:t xml:space="preserve"> criticized </w:t>
      </w:r>
      <w:r w:rsidR="00B036FD" w:rsidRPr="0050741C">
        <w:rPr>
          <w:lang w:val="en-US"/>
        </w:rPr>
        <w:t xml:space="preserve">from comprehensiveness and unit cost perspectives. </w:t>
      </w:r>
      <w:r w:rsidR="00153671">
        <w:rPr>
          <w:lang w:val="en-US"/>
        </w:rPr>
        <w:t>While s</w:t>
      </w:r>
      <w:r w:rsidR="00B036FD" w:rsidRPr="0050741C">
        <w:rPr>
          <w:lang w:val="en-US"/>
        </w:rPr>
        <w:t>ome studies ignore</w:t>
      </w:r>
      <w:r w:rsidR="00917929" w:rsidRPr="0050741C">
        <w:rPr>
          <w:lang w:val="en-US"/>
        </w:rPr>
        <w:t xml:space="preserve"> </w:t>
      </w:r>
      <w:r w:rsidR="0077421A" w:rsidRPr="0050741C">
        <w:rPr>
          <w:lang w:val="en-US"/>
        </w:rPr>
        <w:t xml:space="preserve">negative </w:t>
      </w:r>
      <w:r w:rsidR="00EA6067" w:rsidRPr="0050741C">
        <w:rPr>
          <w:lang w:val="en-US"/>
        </w:rPr>
        <w:t>externalities altogether (</w:t>
      </w:r>
      <w:r w:rsidR="00A9330C" w:rsidRPr="0050741C">
        <w:rPr>
          <w:lang w:val="en-US"/>
        </w:rPr>
        <w:t xml:space="preserve">cf. </w:t>
      </w:r>
      <w:r w:rsidR="00E1692F" w:rsidRPr="0050741C">
        <w:rPr>
          <w:lang w:val="en-US"/>
        </w:rPr>
        <w:t>Transportation Economics</w:t>
      </w:r>
      <w:r w:rsidR="002D5A64" w:rsidRPr="0050741C">
        <w:rPr>
          <w:lang w:val="en-US"/>
        </w:rPr>
        <w:t>,</w:t>
      </w:r>
      <w:r w:rsidR="00E1692F" w:rsidRPr="0050741C">
        <w:rPr>
          <w:lang w:val="en-US"/>
        </w:rPr>
        <w:t xml:space="preserve"> 2017</w:t>
      </w:r>
      <w:r w:rsidR="00B036FD" w:rsidRPr="0050741C">
        <w:rPr>
          <w:lang w:val="en-US"/>
        </w:rPr>
        <w:t xml:space="preserve">), others </w:t>
      </w:r>
      <w:r w:rsidR="00153671">
        <w:rPr>
          <w:lang w:val="en-US"/>
        </w:rPr>
        <w:t>have included a number of</w:t>
      </w:r>
      <w:r w:rsidR="00EA6067" w:rsidRPr="0050741C">
        <w:rPr>
          <w:lang w:val="en-US"/>
        </w:rPr>
        <w:t xml:space="preserve"> </w:t>
      </w:r>
      <w:r w:rsidR="00B036FD" w:rsidRPr="0050741C">
        <w:rPr>
          <w:lang w:val="en-US"/>
        </w:rPr>
        <w:t>selected</w:t>
      </w:r>
      <w:r w:rsidR="00EA6067" w:rsidRPr="0050741C">
        <w:rPr>
          <w:lang w:val="en-US"/>
        </w:rPr>
        <w:t xml:space="preserve"> parameters </w:t>
      </w:r>
      <w:r w:rsidR="00A9330C" w:rsidRPr="0050741C">
        <w:rPr>
          <w:lang w:val="en-US"/>
        </w:rPr>
        <w:t>(cf. EC</w:t>
      </w:r>
      <w:r w:rsidR="002D5A64" w:rsidRPr="0050741C">
        <w:rPr>
          <w:lang w:val="en-US"/>
        </w:rPr>
        <w:t>,</w:t>
      </w:r>
      <w:r w:rsidR="00A9330C" w:rsidRPr="0050741C">
        <w:rPr>
          <w:lang w:val="en-US"/>
        </w:rPr>
        <w:t xml:space="preserve"> 2014)</w:t>
      </w:r>
      <w:r w:rsidR="000915B6" w:rsidRPr="0050741C">
        <w:rPr>
          <w:lang w:val="en-US"/>
        </w:rPr>
        <w:t>. W</w:t>
      </w:r>
      <w:r w:rsidR="00EA6067" w:rsidRPr="0050741C">
        <w:rPr>
          <w:lang w:val="en-US"/>
        </w:rPr>
        <w:t>here</w:t>
      </w:r>
      <w:r w:rsidR="00B036FD" w:rsidRPr="0050741C">
        <w:rPr>
          <w:lang w:val="en-US"/>
        </w:rPr>
        <w:t xml:space="preserve"> negative</w:t>
      </w:r>
      <w:r w:rsidR="00EA6067" w:rsidRPr="0050741C">
        <w:rPr>
          <w:lang w:val="en-US"/>
        </w:rPr>
        <w:t xml:space="preserve"> externalities are considered, </w:t>
      </w:r>
      <w:r w:rsidR="00153671">
        <w:rPr>
          <w:lang w:val="en-US"/>
        </w:rPr>
        <w:t xml:space="preserve">the </w:t>
      </w:r>
      <w:r w:rsidR="00E1692F" w:rsidRPr="0050741C">
        <w:rPr>
          <w:lang w:val="en-US"/>
        </w:rPr>
        <w:t>unit cost</w:t>
      </w:r>
      <w:r w:rsidR="00153671">
        <w:rPr>
          <w:lang w:val="en-US"/>
        </w:rPr>
        <w:t xml:space="preserve"> chosen</w:t>
      </w:r>
      <w:r w:rsidR="00E1692F" w:rsidRPr="0050741C">
        <w:rPr>
          <w:lang w:val="en-US"/>
        </w:rPr>
        <w:t xml:space="preserve"> </w:t>
      </w:r>
      <w:r w:rsidR="00660D94" w:rsidRPr="0050741C">
        <w:rPr>
          <w:lang w:val="en-US"/>
        </w:rPr>
        <w:t>may</w:t>
      </w:r>
      <w:r w:rsidR="00E1692F" w:rsidRPr="0050741C">
        <w:rPr>
          <w:lang w:val="en-US"/>
        </w:rPr>
        <w:t xml:space="preserve"> </w:t>
      </w:r>
      <w:r w:rsidR="00EA6067" w:rsidRPr="0050741C">
        <w:rPr>
          <w:lang w:val="en-US"/>
        </w:rPr>
        <w:t xml:space="preserve">underestimate </w:t>
      </w:r>
      <w:r w:rsidR="00153671">
        <w:rPr>
          <w:lang w:val="en-US"/>
        </w:rPr>
        <w:t xml:space="preserve">the </w:t>
      </w:r>
      <w:r w:rsidR="00EA6067" w:rsidRPr="0050741C">
        <w:rPr>
          <w:lang w:val="en-US"/>
        </w:rPr>
        <w:t>actual cos</w:t>
      </w:r>
      <w:r w:rsidR="00221ED3" w:rsidRPr="0050741C">
        <w:rPr>
          <w:lang w:val="en-US"/>
        </w:rPr>
        <w:t>t</w:t>
      </w:r>
      <w:r w:rsidR="00E1692F" w:rsidRPr="0050741C">
        <w:rPr>
          <w:lang w:val="en-US"/>
        </w:rPr>
        <w:t xml:space="preserve">. </w:t>
      </w:r>
      <w:r w:rsidR="00A9330C" w:rsidRPr="0050741C">
        <w:rPr>
          <w:lang w:val="en-US"/>
        </w:rPr>
        <w:t>Furthermore</w:t>
      </w:r>
      <w:r w:rsidR="00EA6067" w:rsidRPr="0050741C">
        <w:rPr>
          <w:lang w:val="en-US"/>
        </w:rPr>
        <w:t>, transportation CBA is usually used to d</w:t>
      </w:r>
      <w:r w:rsidR="00E1692F" w:rsidRPr="0050741C">
        <w:rPr>
          <w:lang w:val="en-US"/>
        </w:rPr>
        <w:t>erive a ratio</w:t>
      </w:r>
      <w:r w:rsidR="00B036FD" w:rsidRPr="0050741C">
        <w:rPr>
          <w:lang w:val="en-US"/>
        </w:rPr>
        <w:t xml:space="preserve">, i.e. benefits divided by cost, </w:t>
      </w:r>
      <w:r w:rsidR="00046B34" w:rsidRPr="0050741C">
        <w:rPr>
          <w:lang w:val="en-US"/>
        </w:rPr>
        <w:t>to provide an absolute measure</w:t>
      </w:r>
      <w:r w:rsidR="00221ED3" w:rsidRPr="0050741C">
        <w:rPr>
          <w:lang w:val="en-US"/>
        </w:rPr>
        <w:t xml:space="preserve"> of benefits. This </w:t>
      </w:r>
      <w:r w:rsidR="00B036FD" w:rsidRPr="0050741C">
        <w:rPr>
          <w:lang w:val="en-US"/>
        </w:rPr>
        <w:t>omits</w:t>
      </w:r>
      <w:r w:rsidR="00221ED3" w:rsidRPr="0050741C">
        <w:rPr>
          <w:lang w:val="en-US"/>
        </w:rPr>
        <w:t xml:space="preserve"> discussion </w:t>
      </w:r>
      <w:r w:rsidR="00B036FD" w:rsidRPr="0050741C">
        <w:rPr>
          <w:lang w:val="en-US"/>
        </w:rPr>
        <w:t xml:space="preserve">of the distribution of </w:t>
      </w:r>
      <w:r w:rsidR="00046B34" w:rsidRPr="0050741C">
        <w:rPr>
          <w:lang w:val="en-US"/>
        </w:rPr>
        <w:t>cost an</w:t>
      </w:r>
      <w:r w:rsidR="00B036FD" w:rsidRPr="0050741C">
        <w:rPr>
          <w:lang w:val="en-US"/>
        </w:rPr>
        <w:t xml:space="preserve">d benefits, which may accrue to the </w:t>
      </w:r>
      <w:r w:rsidR="00221ED3" w:rsidRPr="0050741C">
        <w:rPr>
          <w:lang w:val="en-US"/>
        </w:rPr>
        <w:t>individual</w:t>
      </w:r>
      <w:r w:rsidR="00B036FD" w:rsidRPr="0050741C">
        <w:rPr>
          <w:lang w:val="en-US"/>
        </w:rPr>
        <w:t xml:space="preserve"> or</w:t>
      </w:r>
      <w:r w:rsidR="00046B34" w:rsidRPr="0050741C">
        <w:rPr>
          <w:lang w:val="en-US"/>
        </w:rPr>
        <w:t xml:space="preserve"> society</w:t>
      </w:r>
      <w:r w:rsidR="00B036FD" w:rsidRPr="0050741C">
        <w:rPr>
          <w:lang w:val="en-US"/>
        </w:rPr>
        <w:t>. As focus</w:t>
      </w:r>
      <w:r w:rsidR="00046B34" w:rsidRPr="0050741C">
        <w:rPr>
          <w:lang w:val="en-US"/>
        </w:rPr>
        <w:t xml:space="preserve"> is often on one transport mode, usually the car, </w:t>
      </w:r>
      <w:r w:rsidR="00B036FD" w:rsidRPr="0050741C">
        <w:rPr>
          <w:lang w:val="en-US"/>
        </w:rPr>
        <w:t xml:space="preserve">existing CBAs also </w:t>
      </w:r>
      <w:r w:rsidR="00153671">
        <w:rPr>
          <w:lang w:val="en-US"/>
        </w:rPr>
        <w:t>make limited contributions to</w:t>
      </w:r>
      <w:r w:rsidR="00B036FD" w:rsidRPr="0050741C">
        <w:rPr>
          <w:lang w:val="en-US"/>
        </w:rPr>
        <w:t xml:space="preserve"> decision-making</w:t>
      </w:r>
      <w:r w:rsidRPr="0050741C">
        <w:rPr>
          <w:lang w:val="en-US"/>
        </w:rPr>
        <w:t xml:space="preserve"> </w:t>
      </w:r>
      <w:r w:rsidR="00B036FD" w:rsidRPr="0050741C">
        <w:rPr>
          <w:lang w:val="en-US"/>
        </w:rPr>
        <w:t xml:space="preserve">in urban contexts, where </w:t>
      </w:r>
      <w:r w:rsidR="005665A1" w:rsidRPr="0050741C">
        <w:rPr>
          <w:lang w:val="en-US"/>
        </w:rPr>
        <w:t xml:space="preserve">the substitutability of </w:t>
      </w:r>
      <w:r w:rsidR="00BA4F97" w:rsidRPr="0050741C">
        <w:rPr>
          <w:lang w:val="en-US"/>
        </w:rPr>
        <w:t xml:space="preserve">transportation makes it possible for </w:t>
      </w:r>
      <w:r w:rsidR="00B036FD" w:rsidRPr="0050741C">
        <w:rPr>
          <w:lang w:val="en-US"/>
        </w:rPr>
        <w:t xml:space="preserve">planners </w:t>
      </w:r>
      <w:r w:rsidR="00BA4F97" w:rsidRPr="0050741C">
        <w:rPr>
          <w:lang w:val="en-US"/>
        </w:rPr>
        <w:t>to</w:t>
      </w:r>
      <w:r w:rsidR="004F0379" w:rsidRPr="0050741C">
        <w:rPr>
          <w:lang w:val="en-US"/>
        </w:rPr>
        <w:t xml:space="preserve"> </w:t>
      </w:r>
      <w:r w:rsidR="00CB5133" w:rsidRPr="0050741C">
        <w:rPr>
          <w:lang w:val="en-US"/>
        </w:rPr>
        <w:t>favor</w:t>
      </w:r>
      <w:r w:rsidR="004F0379" w:rsidRPr="0050741C">
        <w:rPr>
          <w:lang w:val="en-US"/>
        </w:rPr>
        <w:t xml:space="preserve"> different transport modes</w:t>
      </w:r>
      <w:r w:rsidRPr="0050741C">
        <w:rPr>
          <w:lang w:val="en-US"/>
        </w:rPr>
        <w:t xml:space="preserve"> competing for space or </w:t>
      </w:r>
      <w:r w:rsidR="00CB5133" w:rsidRPr="0050741C">
        <w:rPr>
          <w:lang w:val="en-US"/>
        </w:rPr>
        <w:t>prioritization</w:t>
      </w:r>
      <w:r w:rsidR="004F0379" w:rsidRPr="0050741C">
        <w:rPr>
          <w:lang w:val="en-US"/>
        </w:rPr>
        <w:t>.</w:t>
      </w:r>
    </w:p>
    <w:p w14:paraId="10C083C5" w14:textId="77777777" w:rsidR="008B69E4" w:rsidRPr="0050741C" w:rsidRDefault="008B69E4" w:rsidP="00901DF3">
      <w:pPr>
        <w:spacing w:line="480" w:lineRule="auto"/>
        <w:rPr>
          <w:lang w:val="en-US"/>
        </w:rPr>
      </w:pPr>
    </w:p>
    <w:p w14:paraId="448BD7C3" w14:textId="77777777" w:rsidR="0024579A" w:rsidRPr="0050741C" w:rsidRDefault="00CE1FBF" w:rsidP="00901DF3">
      <w:pPr>
        <w:spacing w:line="480" w:lineRule="auto"/>
        <w:outlineLvl w:val="0"/>
        <w:rPr>
          <w:b/>
          <w:lang w:val="en-US"/>
        </w:rPr>
      </w:pPr>
      <w:r w:rsidRPr="0050741C">
        <w:rPr>
          <w:b/>
          <w:lang w:val="en-US"/>
        </w:rPr>
        <w:t xml:space="preserve">3. </w:t>
      </w:r>
      <w:r w:rsidR="00BB4C5C" w:rsidRPr="0050741C">
        <w:rPr>
          <w:b/>
          <w:lang w:val="en-US"/>
        </w:rPr>
        <w:t>Method</w:t>
      </w:r>
    </w:p>
    <w:p w14:paraId="43E11A59" w14:textId="77777777" w:rsidR="00890E60" w:rsidRPr="0050741C" w:rsidRDefault="000A6BA9" w:rsidP="00901DF3">
      <w:pPr>
        <w:spacing w:line="480" w:lineRule="auto"/>
        <w:jc w:val="both"/>
        <w:rPr>
          <w:i/>
          <w:lang w:val="en-US"/>
        </w:rPr>
      </w:pPr>
      <w:r w:rsidRPr="0050741C">
        <w:rPr>
          <w:i/>
          <w:lang w:val="en-US"/>
        </w:rPr>
        <w:t>Comparative cost-benefit analysis</w:t>
      </w:r>
    </w:p>
    <w:p w14:paraId="2DBC9F40" w14:textId="7AD31DC9" w:rsidR="0020257B" w:rsidRPr="0050741C" w:rsidRDefault="00E67BA8" w:rsidP="00901DF3">
      <w:pPr>
        <w:spacing w:line="480" w:lineRule="auto"/>
        <w:jc w:val="both"/>
        <w:rPr>
          <w:lang w:val="en-US"/>
        </w:rPr>
      </w:pPr>
      <w:r w:rsidRPr="0050741C">
        <w:rPr>
          <w:lang w:val="en-US"/>
        </w:rPr>
        <w:t xml:space="preserve">CBA frameworks need to consider </w:t>
      </w:r>
      <w:r w:rsidR="00C76401" w:rsidRPr="0050741C">
        <w:rPr>
          <w:lang w:val="en-US"/>
        </w:rPr>
        <w:t xml:space="preserve">two </w:t>
      </w:r>
      <w:r w:rsidRPr="0050741C">
        <w:rPr>
          <w:lang w:val="en-US"/>
        </w:rPr>
        <w:t>key aspects</w:t>
      </w:r>
      <w:r w:rsidR="00E35C76" w:rsidRPr="0050741C">
        <w:rPr>
          <w:lang w:val="en-US"/>
        </w:rPr>
        <w:t xml:space="preserve">, </w:t>
      </w:r>
      <w:r w:rsidR="00C76401" w:rsidRPr="0050741C">
        <w:rPr>
          <w:lang w:val="en-US"/>
        </w:rPr>
        <w:t xml:space="preserve">the </w:t>
      </w:r>
      <w:r w:rsidRPr="0050741C">
        <w:rPr>
          <w:lang w:val="en-US"/>
        </w:rPr>
        <w:t>decision on the parameters to</w:t>
      </w:r>
      <w:r w:rsidR="00C76401" w:rsidRPr="0050741C">
        <w:rPr>
          <w:lang w:val="en-US"/>
        </w:rPr>
        <w:t xml:space="preserve"> be included</w:t>
      </w:r>
      <w:r w:rsidR="007101B6" w:rsidRPr="0050741C">
        <w:rPr>
          <w:lang w:val="en-US"/>
        </w:rPr>
        <w:t xml:space="preserve"> in calculations, as well as justified</w:t>
      </w:r>
      <w:r w:rsidRPr="0050741C">
        <w:rPr>
          <w:lang w:val="en-US"/>
        </w:rPr>
        <w:t xml:space="preserve"> unit costs</w:t>
      </w:r>
      <w:r w:rsidR="00C76401" w:rsidRPr="0050741C">
        <w:rPr>
          <w:lang w:val="en-US"/>
        </w:rPr>
        <w:t xml:space="preserve">. </w:t>
      </w:r>
      <w:r w:rsidR="00E35C76" w:rsidRPr="0050741C">
        <w:rPr>
          <w:lang w:val="en-US"/>
        </w:rPr>
        <w:t xml:space="preserve">Comparative </w:t>
      </w:r>
      <w:r w:rsidR="00F26224" w:rsidRPr="0050741C">
        <w:rPr>
          <w:lang w:val="en-US"/>
        </w:rPr>
        <w:t xml:space="preserve">CBA can </w:t>
      </w:r>
      <w:r w:rsidR="002B09A1" w:rsidRPr="0050741C">
        <w:rPr>
          <w:lang w:val="en-US"/>
        </w:rPr>
        <w:t>be used to</w:t>
      </w:r>
      <w:r w:rsidRPr="0050741C">
        <w:rPr>
          <w:lang w:val="en-US"/>
        </w:rPr>
        <w:t xml:space="preserve"> assess the economic </w:t>
      </w:r>
      <w:r w:rsidR="00C76401" w:rsidRPr="0050741C">
        <w:rPr>
          <w:lang w:val="en-US"/>
        </w:rPr>
        <w:t xml:space="preserve">cost of a </w:t>
      </w:r>
      <w:r w:rsidR="00CB5133" w:rsidRPr="0050741C">
        <w:rPr>
          <w:lang w:val="en-US"/>
        </w:rPr>
        <w:t>kilometer</w:t>
      </w:r>
      <w:r w:rsidR="00C76401" w:rsidRPr="0050741C">
        <w:rPr>
          <w:lang w:val="en-US"/>
        </w:rPr>
        <w:t xml:space="preserve"> driven</w:t>
      </w:r>
      <w:r w:rsidR="00CD3E0B" w:rsidRPr="0050741C">
        <w:rPr>
          <w:lang w:val="en-US"/>
        </w:rPr>
        <w:t>,</w:t>
      </w:r>
      <w:r w:rsidR="00C76401" w:rsidRPr="0050741C">
        <w:rPr>
          <w:lang w:val="en-US"/>
        </w:rPr>
        <w:t xml:space="preserve"> cycled</w:t>
      </w:r>
      <w:r w:rsidR="00CD3E0B" w:rsidRPr="0050741C">
        <w:rPr>
          <w:lang w:val="en-US"/>
        </w:rPr>
        <w:t xml:space="preserve"> or walked</w:t>
      </w:r>
      <w:r w:rsidR="00C76401" w:rsidRPr="0050741C">
        <w:rPr>
          <w:lang w:val="en-US"/>
        </w:rPr>
        <w:t>, as well as</w:t>
      </w:r>
      <w:r w:rsidR="002B09A1" w:rsidRPr="0050741C">
        <w:rPr>
          <w:lang w:val="en-US"/>
        </w:rPr>
        <w:t xml:space="preserve"> to assess</w:t>
      </w:r>
      <w:r w:rsidR="00C76401" w:rsidRPr="0050741C">
        <w:rPr>
          <w:lang w:val="en-US"/>
        </w:rPr>
        <w:t xml:space="preserve"> </w:t>
      </w:r>
      <w:r w:rsidR="002B09A1" w:rsidRPr="0050741C">
        <w:rPr>
          <w:lang w:val="en-US"/>
        </w:rPr>
        <w:t>(</w:t>
      </w:r>
      <w:r w:rsidR="002B09A1" w:rsidRPr="0050741C">
        <w:rPr>
          <w:i/>
          <w:lang w:val="en-US"/>
        </w:rPr>
        <w:t>ex ante</w:t>
      </w:r>
      <w:r w:rsidR="002B09A1" w:rsidRPr="0050741C">
        <w:rPr>
          <w:lang w:val="en-US"/>
        </w:rPr>
        <w:t xml:space="preserve"> or </w:t>
      </w:r>
      <w:r w:rsidR="002B09A1" w:rsidRPr="0050741C">
        <w:rPr>
          <w:i/>
          <w:lang w:val="en-US"/>
        </w:rPr>
        <w:t>ex post</w:t>
      </w:r>
      <w:r w:rsidR="002B09A1" w:rsidRPr="0050741C">
        <w:rPr>
          <w:lang w:val="en-US"/>
        </w:rPr>
        <w:t xml:space="preserve">) changes </w:t>
      </w:r>
      <w:r w:rsidR="00C76401" w:rsidRPr="0050741C">
        <w:rPr>
          <w:lang w:val="en-US"/>
        </w:rPr>
        <w:t xml:space="preserve">in </w:t>
      </w:r>
      <w:r w:rsidR="00F26224" w:rsidRPr="0050741C">
        <w:rPr>
          <w:lang w:val="en-US"/>
        </w:rPr>
        <w:t xml:space="preserve">transportation </w:t>
      </w:r>
      <w:r w:rsidR="00C76401" w:rsidRPr="0050741C">
        <w:rPr>
          <w:lang w:val="en-US"/>
        </w:rPr>
        <w:t>cost</w:t>
      </w:r>
      <w:r w:rsidR="002B09A1" w:rsidRPr="0050741C">
        <w:rPr>
          <w:lang w:val="en-US"/>
        </w:rPr>
        <w:t>s</w:t>
      </w:r>
      <w:r w:rsidR="00C76401" w:rsidRPr="0050741C">
        <w:rPr>
          <w:lang w:val="en-US"/>
        </w:rPr>
        <w:t xml:space="preserve"> as a result of urban</w:t>
      </w:r>
      <w:r w:rsidRPr="0050741C">
        <w:rPr>
          <w:lang w:val="en-US"/>
        </w:rPr>
        <w:t xml:space="preserve"> re-design</w:t>
      </w:r>
      <w:r w:rsidR="00C76401" w:rsidRPr="0050741C">
        <w:rPr>
          <w:lang w:val="en-US"/>
        </w:rPr>
        <w:t xml:space="preserve"> or infrastructure change</w:t>
      </w:r>
      <w:r w:rsidR="00F26224" w:rsidRPr="0050741C">
        <w:rPr>
          <w:lang w:val="en-US"/>
        </w:rPr>
        <w:t xml:space="preserve">. </w:t>
      </w:r>
      <w:r w:rsidR="00541F96" w:rsidRPr="0050741C">
        <w:rPr>
          <w:lang w:val="en-US"/>
        </w:rPr>
        <w:t xml:space="preserve">The </w:t>
      </w:r>
      <w:r w:rsidR="00890E60" w:rsidRPr="0050741C">
        <w:rPr>
          <w:lang w:val="en-US"/>
        </w:rPr>
        <w:t>current transport system is the basis for assessments, in which</w:t>
      </w:r>
      <w:r w:rsidR="00F26224" w:rsidRPr="0050741C">
        <w:rPr>
          <w:lang w:val="en-US"/>
        </w:rPr>
        <w:t xml:space="preserve"> costs may be </w:t>
      </w:r>
      <w:r w:rsidR="00EB33C9">
        <w:rPr>
          <w:lang w:val="en-US"/>
        </w:rPr>
        <w:t>external</w:t>
      </w:r>
      <w:r w:rsidR="00890E60" w:rsidRPr="0050741C">
        <w:rPr>
          <w:lang w:val="en-US"/>
        </w:rPr>
        <w:t xml:space="preserve"> or private</w:t>
      </w:r>
      <w:r w:rsidR="00C76401" w:rsidRPr="0050741C">
        <w:rPr>
          <w:lang w:val="en-US"/>
        </w:rPr>
        <w:t xml:space="preserve">. </w:t>
      </w:r>
      <w:r w:rsidR="00F26224" w:rsidRPr="0050741C">
        <w:rPr>
          <w:lang w:val="en-US"/>
        </w:rPr>
        <w:t>The validity of any CBA will rely on the comprehensiveness of the parameters included</w:t>
      </w:r>
      <w:r w:rsidR="00890E60" w:rsidRPr="0050741C">
        <w:rPr>
          <w:lang w:val="en-US"/>
        </w:rPr>
        <w:t>, as well as the complexity of the effects</w:t>
      </w:r>
      <w:r w:rsidR="00812D66" w:rsidRPr="0050741C">
        <w:rPr>
          <w:lang w:val="en-US"/>
        </w:rPr>
        <w:t xml:space="preserve"> considered, including rebounds (</w:t>
      </w:r>
      <w:r w:rsidR="00BA7D5D" w:rsidRPr="0050741C">
        <w:rPr>
          <w:lang w:val="en-US"/>
        </w:rPr>
        <w:t>Santarius et al.</w:t>
      </w:r>
      <w:r w:rsidR="004D35F5" w:rsidRPr="0050741C">
        <w:rPr>
          <w:lang w:val="en-US"/>
        </w:rPr>
        <w:t>,</w:t>
      </w:r>
      <w:r w:rsidR="00BA7D5D" w:rsidRPr="0050741C">
        <w:rPr>
          <w:lang w:val="en-US"/>
        </w:rPr>
        <w:t xml:space="preserve"> 2016)</w:t>
      </w:r>
      <w:r w:rsidR="00F26224" w:rsidRPr="0050741C">
        <w:rPr>
          <w:lang w:val="en-US"/>
        </w:rPr>
        <w:t xml:space="preserve">. </w:t>
      </w:r>
      <w:r w:rsidR="00BA7D5D" w:rsidRPr="0050741C">
        <w:rPr>
          <w:lang w:val="en-US"/>
        </w:rPr>
        <w:t>With regard to parameters, t</w:t>
      </w:r>
      <w:r w:rsidR="00F26224" w:rsidRPr="0050741C">
        <w:rPr>
          <w:lang w:val="en-US"/>
        </w:rPr>
        <w:t>he</w:t>
      </w:r>
      <w:r w:rsidR="00996C75" w:rsidRPr="0050741C">
        <w:rPr>
          <w:lang w:val="en-US"/>
        </w:rPr>
        <w:t xml:space="preserve"> European Commission’s </w:t>
      </w:r>
      <w:r w:rsidR="00062D5B" w:rsidRPr="0050741C">
        <w:rPr>
          <w:lang w:val="en-US"/>
        </w:rPr>
        <w:t>‘G</w:t>
      </w:r>
      <w:r w:rsidR="00996C75" w:rsidRPr="0050741C">
        <w:rPr>
          <w:lang w:val="en-US"/>
        </w:rPr>
        <w:t>uide to Cost-Benefit Analysis of Investment Projects’</w:t>
      </w:r>
      <w:r w:rsidR="00062D5B" w:rsidRPr="0050741C">
        <w:rPr>
          <w:lang w:val="en-US"/>
        </w:rPr>
        <w:t xml:space="preserve"> </w:t>
      </w:r>
      <w:r w:rsidR="003E61B5" w:rsidRPr="0050741C">
        <w:rPr>
          <w:lang w:val="en-US"/>
        </w:rPr>
        <w:t>suggests, for</w:t>
      </w:r>
      <w:r w:rsidR="00996C75" w:rsidRPr="0050741C">
        <w:rPr>
          <w:lang w:val="en-US"/>
        </w:rPr>
        <w:t xml:space="preserve"> transport</w:t>
      </w:r>
      <w:r w:rsidR="00F26224" w:rsidRPr="0050741C">
        <w:rPr>
          <w:lang w:val="en-US"/>
        </w:rPr>
        <w:t>-related projects</w:t>
      </w:r>
      <w:r w:rsidR="00996C75" w:rsidRPr="0050741C">
        <w:rPr>
          <w:lang w:val="en-US"/>
        </w:rPr>
        <w:t>,</w:t>
      </w:r>
      <w:r w:rsidR="00F26224" w:rsidRPr="0050741C">
        <w:rPr>
          <w:lang w:val="en-US"/>
        </w:rPr>
        <w:t xml:space="preserve"> to include</w:t>
      </w:r>
      <w:r w:rsidR="00996C75" w:rsidRPr="0050741C">
        <w:rPr>
          <w:lang w:val="en-US"/>
        </w:rPr>
        <w:t xml:space="preserve"> travel time, vehicle operating costs, accidents</w:t>
      </w:r>
      <w:r w:rsidR="00673154" w:rsidRPr="0050741C">
        <w:rPr>
          <w:lang w:val="en-US"/>
        </w:rPr>
        <w:t>/collisions</w:t>
      </w:r>
      <w:r w:rsidR="00996C75" w:rsidRPr="0050741C">
        <w:rPr>
          <w:lang w:val="en-US"/>
        </w:rPr>
        <w:t xml:space="preserve">, noise, air pollution, and climate change </w:t>
      </w:r>
      <w:r w:rsidR="00BA7D5D" w:rsidRPr="0050741C">
        <w:rPr>
          <w:lang w:val="en-US"/>
        </w:rPr>
        <w:t xml:space="preserve">in transport CBAs </w:t>
      </w:r>
      <w:r w:rsidR="00996C75" w:rsidRPr="0050741C">
        <w:rPr>
          <w:lang w:val="en-US"/>
        </w:rPr>
        <w:t>(EC</w:t>
      </w:r>
      <w:r w:rsidR="004D35F5" w:rsidRPr="0050741C">
        <w:rPr>
          <w:lang w:val="en-US"/>
        </w:rPr>
        <w:t>,</w:t>
      </w:r>
      <w:r w:rsidR="00996C75" w:rsidRPr="0050741C">
        <w:rPr>
          <w:lang w:val="en-US"/>
        </w:rPr>
        <w:t xml:space="preserve"> 2014).</w:t>
      </w:r>
      <w:r w:rsidR="00743A26" w:rsidRPr="0050741C">
        <w:rPr>
          <w:lang w:val="en-US"/>
        </w:rPr>
        <w:t xml:space="preserve"> These parameters are </w:t>
      </w:r>
      <w:r w:rsidR="002072C7" w:rsidRPr="0050741C">
        <w:rPr>
          <w:lang w:val="en-US"/>
        </w:rPr>
        <w:t xml:space="preserve">also </w:t>
      </w:r>
      <w:r w:rsidR="00743A26" w:rsidRPr="0050741C">
        <w:rPr>
          <w:lang w:val="en-US"/>
        </w:rPr>
        <w:t xml:space="preserve">used in </w:t>
      </w:r>
      <w:r w:rsidR="002072C7" w:rsidRPr="0050741C">
        <w:rPr>
          <w:lang w:val="en-US"/>
        </w:rPr>
        <w:t xml:space="preserve">other </w:t>
      </w:r>
      <w:r w:rsidR="004744F3" w:rsidRPr="0050741C">
        <w:rPr>
          <w:lang w:val="en-US"/>
        </w:rPr>
        <w:t xml:space="preserve">countries </w:t>
      </w:r>
      <w:r w:rsidR="003E61B5" w:rsidRPr="0050741C">
        <w:rPr>
          <w:lang w:val="en-US"/>
        </w:rPr>
        <w:t>(</w:t>
      </w:r>
      <w:r w:rsidR="00AA0F46" w:rsidRPr="0050741C">
        <w:rPr>
          <w:lang w:val="en-US"/>
        </w:rPr>
        <w:t>Litman</w:t>
      </w:r>
      <w:r w:rsidR="00FB765F" w:rsidRPr="0050741C">
        <w:rPr>
          <w:lang w:val="en-US"/>
        </w:rPr>
        <w:t xml:space="preserve"> and Doherty</w:t>
      </w:r>
      <w:r w:rsidR="004D35F5" w:rsidRPr="0050741C">
        <w:rPr>
          <w:lang w:val="en-US"/>
        </w:rPr>
        <w:t>,</w:t>
      </w:r>
      <w:r w:rsidR="00FB765F" w:rsidRPr="0050741C">
        <w:rPr>
          <w:lang w:val="en-US"/>
        </w:rPr>
        <w:t xml:space="preserve"> 2011</w:t>
      </w:r>
      <w:r w:rsidR="00BA7D5D" w:rsidRPr="0050741C">
        <w:rPr>
          <w:lang w:val="en-US"/>
        </w:rPr>
        <w:t>; NZ Transport Agency</w:t>
      </w:r>
      <w:r w:rsidR="004D35F5" w:rsidRPr="0050741C">
        <w:rPr>
          <w:lang w:val="en-US"/>
        </w:rPr>
        <w:t>,</w:t>
      </w:r>
      <w:r w:rsidR="00BA7D5D" w:rsidRPr="0050741C">
        <w:rPr>
          <w:lang w:val="en-US"/>
        </w:rPr>
        <w:t xml:space="preserve"> 2016</w:t>
      </w:r>
      <w:r w:rsidR="00743A26" w:rsidRPr="0050741C">
        <w:rPr>
          <w:lang w:val="en-US"/>
        </w:rPr>
        <w:t xml:space="preserve">), but they inadequately </w:t>
      </w:r>
      <w:r w:rsidR="00743A26" w:rsidRPr="0050741C">
        <w:rPr>
          <w:lang w:val="en-US"/>
        </w:rPr>
        <w:lastRenderedPageBreak/>
        <w:t xml:space="preserve">represent the </w:t>
      </w:r>
      <w:r w:rsidR="00E35C76" w:rsidRPr="0050741C">
        <w:rPr>
          <w:lang w:val="en-US"/>
        </w:rPr>
        <w:t>full cost</w:t>
      </w:r>
      <w:r w:rsidR="00743A26" w:rsidRPr="0050741C">
        <w:rPr>
          <w:lang w:val="en-US"/>
        </w:rPr>
        <w:t xml:space="preserve"> of </w:t>
      </w:r>
      <w:r w:rsidR="00263EE0" w:rsidRPr="0050741C">
        <w:rPr>
          <w:lang w:val="en-US"/>
        </w:rPr>
        <w:t xml:space="preserve">motorized transportation, </w:t>
      </w:r>
      <w:r w:rsidR="00BA7D5D" w:rsidRPr="0050741C">
        <w:rPr>
          <w:lang w:val="en-US"/>
        </w:rPr>
        <w:t>and, given the lack of comparison, omit</w:t>
      </w:r>
      <w:r w:rsidR="00263EE0" w:rsidRPr="0050741C">
        <w:rPr>
          <w:lang w:val="en-US"/>
        </w:rPr>
        <w:t xml:space="preserve"> benefits associated with cycling</w:t>
      </w:r>
      <w:r w:rsidR="00541F96" w:rsidRPr="0050741C">
        <w:rPr>
          <w:lang w:val="en-US"/>
        </w:rPr>
        <w:t xml:space="preserve"> or walking</w:t>
      </w:r>
      <w:r w:rsidR="00263EE0" w:rsidRPr="0050741C">
        <w:rPr>
          <w:lang w:val="en-US"/>
        </w:rPr>
        <w:t xml:space="preserve">. </w:t>
      </w:r>
      <w:r w:rsidR="00BA7D5D" w:rsidRPr="0050741C">
        <w:rPr>
          <w:lang w:val="en-US"/>
        </w:rPr>
        <w:t xml:space="preserve">In this study, four </w:t>
      </w:r>
      <w:r w:rsidR="00E628E9" w:rsidRPr="0050741C">
        <w:rPr>
          <w:lang w:val="en-US"/>
        </w:rPr>
        <w:t xml:space="preserve">CBA assessment frameworks </w:t>
      </w:r>
      <w:r w:rsidR="00BA7D5D" w:rsidRPr="0050741C">
        <w:rPr>
          <w:lang w:val="en-US"/>
        </w:rPr>
        <w:t>are</w:t>
      </w:r>
      <w:r w:rsidR="001101E0" w:rsidRPr="0050741C">
        <w:rPr>
          <w:lang w:val="en-US"/>
        </w:rPr>
        <w:t xml:space="preserve"> </w:t>
      </w:r>
      <w:r w:rsidR="00BA7D5D" w:rsidRPr="0050741C">
        <w:rPr>
          <w:lang w:val="en-US"/>
        </w:rPr>
        <w:t>compared to identify a comprehensive list of parameters</w:t>
      </w:r>
      <w:r w:rsidR="001101E0" w:rsidRPr="0050741C">
        <w:rPr>
          <w:lang w:val="en-US"/>
        </w:rPr>
        <w:t>, including</w:t>
      </w:r>
      <w:r w:rsidR="00C84122" w:rsidRPr="0050741C">
        <w:rPr>
          <w:lang w:val="en-US"/>
        </w:rPr>
        <w:t xml:space="preserve"> </w:t>
      </w:r>
      <w:r w:rsidR="00BA7D5D" w:rsidRPr="0050741C">
        <w:rPr>
          <w:lang w:val="en-US"/>
        </w:rPr>
        <w:t xml:space="preserve">i) </w:t>
      </w:r>
      <w:r w:rsidR="00C84122" w:rsidRPr="0050741C">
        <w:rPr>
          <w:lang w:val="en-US"/>
        </w:rPr>
        <w:t>The European Commission’s Handbook on Transport Costs (EC</w:t>
      </w:r>
      <w:r w:rsidR="004D35F5" w:rsidRPr="0050741C">
        <w:rPr>
          <w:lang w:val="en-US"/>
        </w:rPr>
        <w:t>,</w:t>
      </w:r>
      <w:r w:rsidR="00C84122" w:rsidRPr="0050741C">
        <w:rPr>
          <w:lang w:val="en-US"/>
        </w:rPr>
        <w:t xml:space="preserve"> 2014); </w:t>
      </w:r>
      <w:r w:rsidR="00BA7D5D" w:rsidRPr="0050741C">
        <w:rPr>
          <w:lang w:val="en-US"/>
        </w:rPr>
        <w:t xml:space="preserve">ii) </w:t>
      </w:r>
      <w:r w:rsidR="00E35C76" w:rsidRPr="0050741C">
        <w:rPr>
          <w:lang w:val="en-US"/>
        </w:rPr>
        <w:t xml:space="preserve">the city of </w:t>
      </w:r>
      <w:r w:rsidR="00C84122" w:rsidRPr="0050741C">
        <w:rPr>
          <w:lang w:val="en-US"/>
        </w:rPr>
        <w:t>Copenhagen’</w:t>
      </w:r>
      <w:r w:rsidR="00065AD6" w:rsidRPr="0050741C">
        <w:rPr>
          <w:lang w:val="en-US"/>
        </w:rPr>
        <w:t>s</w:t>
      </w:r>
      <w:r w:rsidR="00BA7D5D" w:rsidRPr="0050741C">
        <w:rPr>
          <w:lang w:val="en-US"/>
        </w:rPr>
        <w:t xml:space="preserve"> comparative</w:t>
      </w:r>
      <w:r w:rsidR="00E628E9" w:rsidRPr="0050741C">
        <w:rPr>
          <w:lang w:val="en-US"/>
        </w:rPr>
        <w:t xml:space="preserve"> </w:t>
      </w:r>
      <w:r w:rsidR="00BA7D5D" w:rsidRPr="0050741C">
        <w:rPr>
          <w:lang w:val="en-US"/>
        </w:rPr>
        <w:t>CBA</w:t>
      </w:r>
      <w:r w:rsidR="00C84122" w:rsidRPr="0050741C">
        <w:rPr>
          <w:lang w:val="en-US"/>
        </w:rPr>
        <w:t xml:space="preserve"> (</w:t>
      </w:r>
      <w:r w:rsidR="00065AD6" w:rsidRPr="0050741C">
        <w:rPr>
          <w:lang w:val="en-US"/>
        </w:rPr>
        <w:t xml:space="preserve">COWI and </w:t>
      </w:r>
      <w:r w:rsidR="00834F40" w:rsidRPr="0050741C">
        <w:rPr>
          <w:lang w:val="en-US"/>
        </w:rPr>
        <w:t>City of Copenhagen</w:t>
      </w:r>
      <w:r w:rsidR="004D35F5" w:rsidRPr="0050741C">
        <w:rPr>
          <w:lang w:val="en-US"/>
        </w:rPr>
        <w:t>,</w:t>
      </w:r>
      <w:r w:rsidR="00065AD6" w:rsidRPr="0050741C">
        <w:rPr>
          <w:lang w:val="en-US"/>
        </w:rPr>
        <w:t xml:space="preserve"> 2009)</w:t>
      </w:r>
      <w:r w:rsidR="00541F96" w:rsidRPr="0050741C">
        <w:rPr>
          <w:lang w:val="en-US"/>
        </w:rPr>
        <w:t xml:space="preserve"> along with the city’s walking CBA (Transportministeriet</w:t>
      </w:r>
      <w:r w:rsidR="004D35F5" w:rsidRPr="0050741C">
        <w:rPr>
          <w:lang w:val="en-US"/>
        </w:rPr>
        <w:t>,</w:t>
      </w:r>
      <w:r w:rsidR="00541F96" w:rsidRPr="0050741C">
        <w:rPr>
          <w:lang w:val="en-US"/>
        </w:rPr>
        <w:t xml:space="preserve"> 2013)</w:t>
      </w:r>
      <w:r w:rsidR="00E35C76" w:rsidRPr="0050741C">
        <w:rPr>
          <w:lang w:val="en-US"/>
        </w:rPr>
        <w:t>;</w:t>
      </w:r>
      <w:r w:rsidR="00065AD6" w:rsidRPr="0050741C">
        <w:rPr>
          <w:lang w:val="en-US"/>
        </w:rPr>
        <w:t xml:space="preserve"> </w:t>
      </w:r>
      <w:r w:rsidR="00BA7D5D" w:rsidRPr="0050741C">
        <w:rPr>
          <w:lang w:val="en-US"/>
        </w:rPr>
        <w:t>iii) the</w:t>
      </w:r>
      <w:r w:rsidR="00C84122" w:rsidRPr="0050741C">
        <w:rPr>
          <w:lang w:val="en-US"/>
        </w:rPr>
        <w:t xml:space="preserve"> European Cycle Foundation’s study of </w:t>
      </w:r>
      <w:r w:rsidR="001101E0" w:rsidRPr="0050741C">
        <w:rPr>
          <w:lang w:val="en-US"/>
        </w:rPr>
        <w:t>‘</w:t>
      </w:r>
      <w:r w:rsidR="00C84122" w:rsidRPr="0050741C">
        <w:rPr>
          <w:lang w:val="en-US"/>
        </w:rPr>
        <w:t>bicycle benefits</w:t>
      </w:r>
      <w:r w:rsidR="001101E0" w:rsidRPr="0050741C">
        <w:rPr>
          <w:lang w:val="en-US"/>
        </w:rPr>
        <w:t>’</w:t>
      </w:r>
      <w:r w:rsidR="00BA7D5D" w:rsidRPr="0050741C">
        <w:rPr>
          <w:lang w:val="en-US"/>
        </w:rPr>
        <w:t xml:space="preserve"> </w:t>
      </w:r>
      <w:r w:rsidR="009D1435" w:rsidRPr="0050741C">
        <w:rPr>
          <w:lang w:val="en-US"/>
        </w:rPr>
        <w:t>(ECF</w:t>
      </w:r>
      <w:r w:rsidR="004D35F5" w:rsidRPr="0050741C">
        <w:rPr>
          <w:lang w:val="en-US"/>
        </w:rPr>
        <w:t>,</w:t>
      </w:r>
      <w:r w:rsidR="009D1435" w:rsidRPr="0050741C">
        <w:rPr>
          <w:lang w:val="en-US"/>
        </w:rPr>
        <w:t xml:space="preserve"> 2016)</w:t>
      </w:r>
      <w:r w:rsidR="00BA7D5D" w:rsidRPr="0050741C">
        <w:rPr>
          <w:lang w:val="en-US"/>
        </w:rPr>
        <w:t xml:space="preserve">, and the Canadian Victoria Transport Policy Institute’s </w:t>
      </w:r>
      <w:r w:rsidR="00FC60DD" w:rsidRPr="0050741C">
        <w:rPr>
          <w:lang w:val="en-US"/>
        </w:rPr>
        <w:t>‘</w:t>
      </w:r>
      <w:r w:rsidR="00BA7D5D" w:rsidRPr="0050741C">
        <w:rPr>
          <w:lang w:val="en-US"/>
        </w:rPr>
        <w:t>CBA for transportation</w:t>
      </w:r>
      <w:r w:rsidR="00FC60DD" w:rsidRPr="0050741C">
        <w:rPr>
          <w:lang w:val="en-US"/>
        </w:rPr>
        <w:t>’</w:t>
      </w:r>
      <w:r w:rsidR="004D35F5" w:rsidRPr="0050741C">
        <w:rPr>
          <w:lang w:val="en-US"/>
        </w:rPr>
        <w:t xml:space="preserve"> (</w:t>
      </w:r>
      <w:r w:rsidR="00841824">
        <w:rPr>
          <w:lang w:val="en-US"/>
        </w:rPr>
        <w:t>Litman and Doherty, 2011</w:t>
      </w:r>
      <w:r w:rsidR="00BA7D5D" w:rsidRPr="0050741C">
        <w:rPr>
          <w:lang w:val="en-US"/>
        </w:rPr>
        <w:t>)</w:t>
      </w:r>
      <w:r w:rsidR="009D1435" w:rsidRPr="0050741C">
        <w:rPr>
          <w:lang w:val="en-US"/>
        </w:rPr>
        <w:t xml:space="preserve">. </w:t>
      </w:r>
      <w:r w:rsidR="000C6077" w:rsidRPr="0050741C">
        <w:rPr>
          <w:lang w:val="en-US"/>
        </w:rPr>
        <w:t>Identical CBA conditions are applied for the three transport modes studied, i.e. car, bicycle and walking.</w:t>
      </w:r>
    </w:p>
    <w:p w14:paraId="383628B3" w14:textId="77777777" w:rsidR="00BD790E" w:rsidRPr="0050741C" w:rsidRDefault="00BD790E" w:rsidP="00901DF3">
      <w:pPr>
        <w:spacing w:line="480" w:lineRule="auto"/>
        <w:jc w:val="both"/>
        <w:rPr>
          <w:lang w:val="en-US"/>
        </w:rPr>
      </w:pPr>
    </w:p>
    <w:p w14:paraId="10C43BB0" w14:textId="7325FBB4" w:rsidR="0020257B" w:rsidRPr="0050741C" w:rsidRDefault="00BA7D5D" w:rsidP="00901DF3">
      <w:pPr>
        <w:spacing w:line="480" w:lineRule="auto"/>
        <w:jc w:val="both"/>
        <w:rPr>
          <w:lang w:val="en-US"/>
        </w:rPr>
      </w:pPr>
      <w:r w:rsidRPr="0050741C">
        <w:rPr>
          <w:lang w:val="en-US"/>
        </w:rPr>
        <w:t>To</w:t>
      </w:r>
      <w:r w:rsidR="00BD790E" w:rsidRPr="0050741C">
        <w:rPr>
          <w:lang w:val="en-US"/>
        </w:rPr>
        <w:t xml:space="preserve"> calculate unit costs, the existing literature on costs/benefits was reviewed. </w:t>
      </w:r>
      <w:r w:rsidR="00987D3D" w:rsidRPr="0050741C">
        <w:rPr>
          <w:lang w:val="en-US"/>
        </w:rPr>
        <w:t>For many parameters</w:t>
      </w:r>
      <w:r w:rsidR="00D21284" w:rsidRPr="0050741C">
        <w:rPr>
          <w:lang w:val="en-US"/>
        </w:rPr>
        <w:t xml:space="preserve">, </w:t>
      </w:r>
      <w:r w:rsidR="00987D3D" w:rsidRPr="0050741C">
        <w:rPr>
          <w:lang w:val="en-US"/>
        </w:rPr>
        <w:t>valuation canno</w:t>
      </w:r>
      <w:r w:rsidR="00F00FF4" w:rsidRPr="0050741C">
        <w:rPr>
          <w:lang w:val="en-US"/>
        </w:rPr>
        <w:t>t be based on market values. C</w:t>
      </w:r>
      <w:r w:rsidR="00B523BB" w:rsidRPr="0050741C">
        <w:rPr>
          <w:lang w:val="en-US"/>
        </w:rPr>
        <w:t xml:space="preserve">ommon </w:t>
      </w:r>
      <w:r w:rsidR="00F00FF4" w:rsidRPr="0050741C">
        <w:rPr>
          <w:lang w:val="en-US"/>
        </w:rPr>
        <w:t xml:space="preserve">alternative </w:t>
      </w:r>
      <w:r w:rsidR="00987D3D" w:rsidRPr="0050741C">
        <w:rPr>
          <w:lang w:val="en-US"/>
        </w:rPr>
        <w:t xml:space="preserve">assessment methods include </w:t>
      </w:r>
      <w:r w:rsidR="00E87E10" w:rsidRPr="0050741C">
        <w:rPr>
          <w:lang w:val="en-US"/>
        </w:rPr>
        <w:t xml:space="preserve">market prices, </w:t>
      </w:r>
      <w:r w:rsidR="00987D3D" w:rsidRPr="0050741C">
        <w:rPr>
          <w:lang w:val="en-US"/>
        </w:rPr>
        <w:t>stated preferences, reve</w:t>
      </w:r>
      <w:r w:rsidR="00443853" w:rsidRPr="0050741C">
        <w:rPr>
          <w:lang w:val="en-US"/>
        </w:rPr>
        <w:t>aled preferences, cost saving</w:t>
      </w:r>
      <w:r w:rsidR="00E87E10" w:rsidRPr="0050741C">
        <w:rPr>
          <w:lang w:val="en-US"/>
        </w:rPr>
        <w:t xml:space="preserve">s, </w:t>
      </w:r>
      <w:r w:rsidR="00987D3D" w:rsidRPr="0050741C">
        <w:rPr>
          <w:lang w:val="en-US"/>
        </w:rPr>
        <w:t xml:space="preserve">human capital approaches, willingness-to-pay/willingness-to-accept, hedonic pricing, as well as shadow pricing (EC 2014). </w:t>
      </w:r>
      <w:r w:rsidR="00BD790E" w:rsidRPr="0050741C">
        <w:rPr>
          <w:lang w:val="en-US"/>
        </w:rPr>
        <w:t xml:space="preserve">Values that constitute a cost are </w:t>
      </w:r>
      <w:r w:rsidR="00CB5133" w:rsidRPr="0050741C">
        <w:rPr>
          <w:lang w:val="en-US"/>
        </w:rPr>
        <w:t>characterized</w:t>
      </w:r>
      <w:r w:rsidR="00BD790E" w:rsidRPr="0050741C">
        <w:rPr>
          <w:lang w:val="en-US"/>
        </w:rPr>
        <w:t xml:space="preserve"> as positive (+) and those that represent a benefit are negative (-). </w:t>
      </w:r>
      <w:r w:rsidR="007C22E7" w:rsidRPr="0050741C">
        <w:rPr>
          <w:lang w:val="en-US"/>
        </w:rPr>
        <w:t>V</w:t>
      </w:r>
      <w:r w:rsidR="002C2212" w:rsidRPr="0050741C">
        <w:rPr>
          <w:lang w:val="en-US"/>
        </w:rPr>
        <w:t xml:space="preserve">alues are </w:t>
      </w:r>
      <w:r w:rsidR="007C22E7" w:rsidRPr="0050741C">
        <w:rPr>
          <w:lang w:val="en-US"/>
        </w:rPr>
        <w:t xml:space="preserve">current, </w:t>
      </w:r>
      <w:r w:rsidR="00673154" w:rsidRPr="0050741C">
        <w:rPr>
          <w:lang w:val="en-US"/>
        </w:rPr>
        <w:t>but change over time based on emerging knowledge</w:t>
      </w:r>
      <w:r w:rsidR="007530AE" w:rsidRPr="0050741C">
        <w:rPr>
          <w:lang w:val="en-US"/>
        </w:rPr>
        <w:t>.</w:t>
      </w:r>
      <w:r w:rsidR="00B523BB" w:rsidRPr="0050741C">
        <w:rPr>
          <w:lang w:val="en-US"/>
        </w:rPr>
        <w:t xml:space="preserve"> </w:t>
      </w:r>
      <w:r w:rsidR="007530AE" w:rsidRPr="0050741C">
        <w:rPr>
          <w:lang w:val="en-US"/>
        </w:rPr>
        <w:t>The assessment of h</w:t>
      </w:r>
      <w:r w:rsidR="00B523BB" w:rsidRPr="0050741C">
        <w:rPr>
          <w:lang w:val="en-US"/>
        </w:rPr>
        <w:t>ealth implications and their cost</w:t>
      </w:r>
      <w:r w:rsidR="007530AE" w:rsidRPr="0050741C">
        <w:rPr>
          <w:lang w:val="en-US"/>
        </w:rPr>
        <w:t>, for example, has</w:t>
      </w:r>
      <w:r w:rsidR="00B523BB" w:rsidRPr="0050741C">
        <w:rPr>
          <w:lang w:val="en-US"/>
        </w:rPr>
        <w:t xml:space="preserve"> </w:t>
      </w:r>
      <w:r w:rsidR="007530AE" w:rsidRPr="0050741C">
        <w:rPr>
          <w:lang w:val="en-US"/>
        </w:rPr>
        <w:t>seen considerable progress</w:t>
      </w:r>
      <w:r w:rsidR="00B523BB" w:rsidRPr="0050741C">
        <w:rPr>
          <w:lang w:val="en-US"/>
        </w:rPr>
        <w:t xml:space="preserve"> over the past decade</w:t>
      </w:r>
      <w:r w:rsidR="007530AE" w:rsidRPr="0050741C">
        <w:rPr>
          <w:lang w:val="en-US"/>
        </w:rPr>
        <w:t xml:space="preserve">. </w:t>
      </w:r>
      <w:r w:rsidR="00613A16" w:rsidRPr="0050741C">
        <w:rPr>
          <w:lang w:val="en-US"/>
        </w:rPr>
        <w:t xml:space="preserve">Yet, </w:t>
      </w:r>
      <w:r w:rsidR="00EB33C9">
        <w:rPr>
          <w:lang w:val="en-US"/>
        </w:rPr>
        <w:t>external</w:t>
      </w:r>
      <w:r w:rsidR="00613A16" w:rsidRPr="0050741C">
        <w:rPr>
          <w:lang w:val="en-US"/>
        </w:rPr>
        <w:t xml:space="preserve"> and private</w:t>
      </w:r>
      <w:r w:rsidR="00DF6850" w:rsidRPr="0050741C">
        <w:rPr>
          <w:lang w:val="en-US"/>
        </w:rPr>
        <w:t xml:space="preserve"> cost</w:t>
      </w:r>
      <w:r w:rsidR="00613A16" w:rsidRPr="0050741C">
        <w:rPr>
          <w:lang w:val="en-US"/>
        </w:rPr>
        <w:t xml:space="preserve"> </w:t>
      </w:r>
      <w:r w:rsidR="00DF6850" w:rsidRPr="0050741C">
        <w:rPr>
          <w:lang w:val="en-US"/>
        </w:rPr>
        <w:t>depend</w:t>
      </w:r>
      <w:r w:rsidR="00EB33C9">
        <w:rPr>
          <w:lang w:val="en-US"/>
        </w:rPr>
        <w:t>s</w:t>
      </w:r>
      <w:r w:rsidR="00DF6850" w:rsidRPr="0050741C">
        <w:rPr>
          <w:lang w:val="en-US"/>
        </w:rPr>
        <w:t xml:space="preserve"> on </w:t>
      </w:r>
      <w:r w:rsidR="007530AE" w:rsidRPr="0050741C">
        <w:rPr>
          <w:lang w:val="en-US"/>
        </w:rPr>
        <w:t xml:space="preserve">context. </w:t>
      </w:r>
      <w:r w:rsidR="00613A16" w:rsidRPr="0050741C">
        <w:rPr>
          <w:lang w:val="en-US"/>
        </w:rPr>
        <w:t>As an example, t</w:t>
      </w:r>
      <w:r w:rsidR="00DF6850" w:rsidRPr="0050741C">
        <w:rPr>
          <w:lang w:val="en-US"/>
        </w:rPr>
        <w:t>he monetary value of time</w:t>
      </w:r>
      <w:r w:rsidR="007530AE" w:rsidRPr="0050741C">
        <w:rPr>
          <w:lang w:val="en-US"/>
        </w:rPr>
        <w:t xml:space="preserve"> </w:t>
      </w:r>
      <w:r w:rsidR="00DF6850" w:rsidRPr="0050741C">
        <w:rPr>
          <w:lang w:val="en-US"/>
        </w:rPr>
        <w:t>is vastly different b</w:t>
      </w:r>
      <w:r w:rsidR="007C22E7" w:rsidRPr="0050741C">
        <w:rPr>
          <w:lang w:val="en-US"/>
        </w:rPr>
        <w:t>etween continents and countries</w:t>
      </w:r>
      <w:r w:rsidR="00DF6850" w:rsidRPr="0050741C">
        <w:rPr>
          <w:lang w:val="en-US"/>
        </w:rPr>
        <w:t xml:space="preserve">, </w:t>
      </w:r>
      <w:r w:rsidR="0055681D" w:rsidRPr="0050741C">
        <w:rPr>
          <w:lang w:val="en-US"/>
        </w:rPr>
        <w:t xml:space="preserve">and </w:t>
      </w:r>
      <w:r w:rsidR="007530AE" w:rsidRPr="0050741C">
        <w:rPr>
          <w:lang w:val="en-US"/>
        </w:rPr>
        <w:t xml:space="preserve">also </w:t>
      </w:r>
      <w:r w:rsidR="0055681D" w:rsidRPr="0050741C">
        <w:rPr>
          <w:lang w:val="en-US"/>
        </w:rPr>
        <w:t>depends on the</w:t>
      </w:r>
      <w:r w:rsidR="00DF6850" w:rsidRPr="0050741C">
        <w:rPr>
          <w:lang w:val="en-US"/>
        </w:rPr>
        <w:t xml:space="preserve"> time of the day. </w:t>
      </w:r>
      <w:r w:rsidR="0055681D" w:rsidRPr="0050741C">
        <w:rPr>
          <w:lang w:val="en-US"/>
        </w:rPr>
        <w:t>To derive global average</w:t>
      </w:r>
      <w:r w:rsidR="007530AE" w:rsidRPr="0050741C">
        <w:rPr>
          <w:lang w:val="en-US"/>
        </w:rPr>
        <w:t>s</w:t>
      </w:r>
      <w:r w:rsidR="0055681D" w:rsidRPr="0050741C">
        <w:rPr>
          <w:lang w:val="en-US"/>
        </w:rPr>
        <w:t xml:space="preserve">, national studies are interpolated </w:t>
      </w:r>
      <w:r w:rsidR="007530AE" w:rsidRPr="0050741C">
        <w:rPr>
          <w:lang w:val="en-US"/>
        </w:rPr>
        <w:t>in comparison to</w:t>
      </w:r>
      <w:r w:rsidR="0055681D" w:rsidRPr="0050741C">
        <w:rPr>
          <w:lang w:val="en-US"/>
        </w:rPr>
        <w:t xml:space="preserve"> </w:t>
      </w:r>
      <w:r w:rsidR="00293A2C" w:rsidRPr="0050741C">
        <w:rPr>
          <w:lang w:val="en-US"/>
        </w:rPr>
        <w:t>European</w:t>
      </w:r>
      <w:r w:rsidR="0055681D" w:rsidRPr="0050741C">
        <w:rPr>
          <w:lang w:val="en-US"/>
        </w:rPr>
        <w:t xml:space="preserve"> average</w:t>
      </w:r>
      <w:r w:rsidR="00293A2C" w:rsidRPr="0050741C">
        <w:rPr>
          <w:lang w:val="en-US"/>
        </w:rPr>
        <w:t xml:space="preserve"> per capita</w:t>
      </w:r>
      <w:r w:rsidR="0055681D" w:rsidRPr="0050741C">
        <w:rPr>
          <w:lang w:val="en-US"/>
        </w:rPr>
        <w:t xml:space="preserve"> GDP. </w:t>
      </w:r>
      <w:r w:rsidR="007530AE" w:rsidRPr="0050741C">
        <w:rPr>
          <w:lang w:val="en-US"/>
        </w:rPr>
        <w:t xml:space="preserve">This implies a degree of abstraction, and a limitation of this review remains that </w:t>
      </w:r>
      <w:r w:rsidR="00012B36" w:rsidRPr="0050741C">
        <w:rPr>
          <w:lang w:val="en-US"/>
        </w:rPr>
        <w:t>values</w:t>
      </w:r>
      <w:r w:rsidR="007530AE" w:rsidRPr="0050741C">
        <w:rPr>
          <w:lang w:val="en-US"/>
        </w:rPr>
        <w:t xml:space="preserve"> continue to represent an approximation. </w:t>
      </w:r>
      <w:r w:rsidR="00CA099F" w:rsidRPr="0050741C">
        <w:rPr>
          <w:lang w:val="en-US"/>
        </w:rPr>
        <w:t xml:space="preserve">Two meta-studies, Korzhenevych et al. </w:t>
      </w:r>
      <w:r w:rsidR="00293A2C" w:rsidRPr="0050741C">
        <w:rPr>
          <w:lang w:val="en-US"/>
        </w:rPr>
        <w:t>(</w:t>
      </w:r>
      <w:r w:rsidR="00CA099F" w:rsidRPr="0050741C">
        <w:rPr>
          <w:lang w:val="en-US"/>
        </w:rPr>
        <w:t>2014</w:t>
      </w:r>
      <w:r w:rsidR="00293A2C" w:rsidRPr="0050741C">
        <w:rPr>
          <w:lang w:val="en-US"/>
        </w:rPr>
        <w:t>)</w:t>
      </w:r>
      <w:r w:rsidR="00CA099F" w:rsidRPr="0050741C">
        <w:rPr>
          <w:lang w:val="en-US"/>
        </w:rPr>
        <w:t xml:space="preserve"> and </w:t>
      </w:r>
      <w:r w:rsidR="00841824">
        <w:rPr>
          <w:lang w:val="en-US"/>
        </w:rPr>
        <w:t xml:space="preserve">Litman and Doherty </w:t>
      </w:r>
      <w:r w:rsidR="00293A2C" w:rsidRPr="0050741C">
        <w:rPr>
          <w:lang w:val="en-US"/>
        </w:rPr>
        <w:t>(</w:t>
      </w:r>
      <w:r w:rsidR="00CA099F" w:rsidRPr="0050741C">
        <w:rPr>
          <w:lang w:val="en-US"/>
        </w:rPr>
        <w:t>201</w:t>
      </w:r>
      <w:r w:rsidR="00841824">
        <w:rPr>
          <w:lang w:val="en-US"/>
        </w:rPr>
        <w:t>1</w:t>
      </w:r>
      <w:r w:rsidR="00293A2C" w:rsidRPr="0050741C">
        <w:rPr>
          <w:lang w:val="en-US"/>
        </w:rPr>
        <w:t>)</w:t>
      </w:r>
      <w:r w:rsidR="00CA099F" w:rsidRPr="0050741C">
        <w:rPr>
          <w:lang w:val="en-US"/>
        </w:rPr>
        <w:t xml:space="preserve">, provide comprehensive discussions of weaknesses and shortcomings of the various valuation methods. </w:t>
      </w:r>
      <w:r w:rsidR="008E2834" w:rsidRPr="0050741C">
        <w:rPr>
          <w:lang w:val="en-US"/>
        </w:rPr>
        <w:t xml:space="preserve">Of all national studies, data for Denmark </w:t>
      </w:r>
      <w:r w:rsidR="00541F96" w:rsidRPr="0050741C">
        <w:rPr>
          <w:lang w:val="en-US"/>
        </w:rPr>
        <w:t xml:space="preserve">appears to be </w:t>
      </w:r>
      <w:r w:rsidR="008E2834" w:rsidRPr="0050741C">
        <w:rPr>
          <w:lang w:val="en-US"/>
        </w:rPr>
        <w:t>the most</w:t>
      </w:r>
      <w:r w:rsidR="00293A2C" w:rsidRPr="0050741C">
        <w:rPr>
          <w:lang w:val="en-US"/>
        </w:rPr>
        <w:t xml:space="preserve"> </w:t>
      </w:r>
      <w:r w:rsidR="00DC792B">
        <w:rPr>
          <w:lang w:val="en-US"/>
        </w:rPr>
        <w:t xml:space="preserve">regularly </w:t>
      </w:r>
      <w:r w:rsidR="00DC792B">
        <w:rPr>
          <w:lang w:val="en-US"/>
        </w:rPr>
        <w:lastRenderedPageBreak/>
        <w:t xml:space="preserve">updated </w:t>
      </w:r>
      <w:r w:rsidR="008E2834" w:rsidRPr="0050741C">
        <w:rPr>
          <w:lang w:val="en-US"/>
        </w:rPr>
        <w:t xml:space="preserve">(Center for Transport Analytics 2017). </w:t>
      </w:r>
      <w:r w:rsidR="00CA099F" w:rsidRPr="0050741C">
        <w:rPr>
          <w:lang w:val="en-US"/>
        </w:rPr>
        <w:t xml:space="preserve">Readers are referred to these studies for </w:t>
      </w:r>
      <w:r w:rsidR="006A6B75" w:rsidRPr="0050741C">
        <w:rPr>
          <w:lang w:val="en-US"/>
        </w:rPr>
        <w:t xml:space="preserve">reference, as </w:t>
      </w:r>
      <w:r w:rsidR="00DC792B">
        <w:rPr>
          <w:lang w:val="en-US"/>
        </w:rPr>
        <w:t xml:space="preserve">any </w:t>
      </w:r>
      <w:r w:rsidR="006A6B75" w:rsidRPr="0050741C">
        <w:rPr>
          <w:lang w:val="en-US"/>
        </w:rPr>
        <w:t>full representation of methodological approaches is outside the scope of this paper.</w:t>
      </w:r>
    </w:p>
    <w:p w14:paraId="5593993A" w14:textId="77777777" w:rsidR="00E87E10" w:rsidRPr="0050741C" w:rsidRDefault="00E87E10" w:rsidP="00901DF3">
      <w:pPr>
        <w:spacing w:line="480" w:lineRule="auto"/>
        <w:jc w:val="both"/>
        <w:rPr>
          <w:lang w:val="en-US"/>
        </w:rPr>
      </w:pPr>
    </w:p>
    <w:p w14:paraId="1A6A3664" w14:textId="64DAFDBE" w:rsidR="000A6BA9" w:rsidRPr="0050741C" w:rsidRDefault="00907123" w:rsidP="00901DF3">
      <w:pPr>
        <w:spacing w:line="480" w:lineRule="auto"/>
        <w:jc w:val="both"/>
        <w:rPr>
          <w:i/>
          <w:lang w:val="en-US"/>
        </w:rPr>
      </w:pPr>
      <w:r w:rsidRPr="0050741C">
        <w:rPr>
          <w:i/>
          <w:lang w:val="en-US"/>
        </w:rPr>
        <w:t>Transport demand and assumptions</w:t>
      </w:r>
    </w:p>
    <w:p w14:paraId="77B55884" w14:textId="6ED63EB9" w:rsidR="00F00FF4" w:rsidRPr="0050741C" w:rsidRDefault="00F00FF4" w:rsidP="00901DF3">
      <w:pPr>
        <w:spacing w:line="480" w:lineRule="auto"/>
        <w:jc w:val="both"/>
        <w:rPr>
          <w:lang w:val="en-US"/>
        </w:rPr>
      </w:pPr>
      <w:r w:rsidRPr="0050741C">
        <w:rPr>
          <w:lang w:val="en-US"/>
        </w:rPr>
        <w:t>Estimates of travel demand suggest that in OECD countries, 1.2 billion people travelled 11.0 trillion passenger miles (17.7 trillion p</w:t>
      </w:r>
      <w:r w:rsidR="00673154" w:rsidRPr="0050741C">
        <w:rPr>
          <w:lang w:val="en-US"/>
        </w:rPr>
        <w:t xml:space="preserve">assenger </w:t>
      </w:r>
      <w:r w:rsidR="00CB5133" w:rsidRPr="0050741C">
        <w:rPr>
          <w:lang w:val="en-US"/>
        </w:rPr>
        <w:t>kilometers</w:t>
      </w:r>
      <w:r w:rsidR="00673154" w:rsidRPr="0050741C">
        <w:rPr>
          <w:lang w:val="en-US"/>
        </w:rPr>
        <w:t xml:space="preserve"> [pkm]</w:t>
      </w:r>
      <w:r w:rsidRPr="0050741C">
        <w:rPr>
          <w:lang w:val="en-US"/>
        </w:rPr>
        <w:t>), averaging more than 9,000 miles (14,484 km) per person in 2012 (EIA 2017). In addition, 6 billion people in non-OECD countries travelled an estimated 12.6 trill</w:t>
      </w:r>
      <w:bookmarkStart w:id="0" w:name="_GoBack"/>
      <w:bookmarkEnd w:id="0"/>
      <w:r w:rsidRPr="0050741C">
        <w:rPr>
          <w:lang w:val="en-US"/>
        </w:rPr>
        <w:t>ion passenger miles (20.3 trillion pkm), averaging slightly more than 2,000 miles per person (3</w:t>
      </w:r>
      <w:r w:rsidR="00673154" w:rsidRPr="0050741C">
        <w:rPr>
          <w:lang w:val="en-US"/>
        </w:rPr>
        <w:t>,</w:t>
      </w:r>
      <w:r w:rsidRPr="0050741C">
        <w:rPr>
          <w:lang w:val="en-US"/>
        </w:rPr>
        <w:t>219 pkm). More than 80% of passenger travel in OECD regions</w:t>
      </w:r>
      <w:r w:rsidR="00FD4E8D" w:rsidRPr="0050741C">
        <w:rPr>
          <w:lang w:val="en-US"/>
        </w:rPr>
        <w:t xml:space="preserve"> and 41% of passenger travel in non-OECD</w:t>
      </w:r>
      <w:r w:rsidRPr="0050741C">
        <w:rPr>
          <w:lang w:val="en-US"/>
        </w:rPr>
        <w:t xml:space="preserve"> </w:t>
      </w:r>
      <w:r w:rsidR="00FD4E8D" w:rsidRPr="0050741C">
        <w:rPr>
          <w:lang w:val="en-US"/>
        </w:rPr>
        <w:t xml:space="preserve">countries </w:t>
      </w:r>
      <w:r w:rsidRPr="0050741C">
        <w:rPr>
          <w:lang w:val="en-US"/>
        </w:rPr>
        <w:t>involves light-duty vehicles</w:t>
      </w:r>
      <w:r w:rsidR="00FD4E8D" w:rsidRPr="0050741C">
        <w:rPr>
          <w:lang w:val="en-US"/>
        </w:rPr>
        <w:t xml:space="preserve"> </w:t>
      </w:r>
      <w:r w:rsidRPr="0050741C">
        <w:rPr>
          <w:lang w:val="en-US"/>
        </w:rPr>
        <w:t xml:space="preserve">(EIA 2017). Of the 38 trillion pkm travelled by the world’s population in 2012, </w:t>
      </w:r>
      <w:r w:rsidR="007F47EB" w:rsidRPr="0050741C">
        <w:rPr>
          <w:lang w:val="en-US"/>
        </w:rPr>
        <w:t xml:space="preserve">it can </w:t>
      </w:r>
      <w:r w:rsidR="007F47EB" w:rsidRPr="00080905">
        <w:rPr>
          <w:b/>
          <w:lang w:val="en-US"/>
        </w:rPr>
        <w:t>be estimated that</w:t>
      </w:r>
      <w:r w:rsidRPr="00080905">
        <w:rPr>
          <w:b/>
          <w:lang w:val="en-US"/>
        </w:rPr>
        <w:t xml:space="preserve"> 22.5 trillion have been travelled by car and other forms of lighter motorized vehicles.</w:t>
      </w:r>
      <w:r w:rsidR="00FE02D8" w:rsidRPr="00080905">
        <w:rPr>
          <w:b/>
          <w:lang w:val="en-US"/>
        </w:rPr>
        <w:t xml:space="preserve"> In</w:t>
      </w:r>
      <w:r w:rsidR="00FE02D8" w:rsidRPr="0050741C">
        <w:rPr>
          <w:lang w:val="en-US"/>
        </w:rPr>
        <w:t xml:space="preserve"> the EU28, some 4.719 trillion pkm were travelled by car in 2015 (EC 2017), with an average occupancy rate of 1.54 persons per car (EEA 2010).</w:t>
      </w:r>
      <w:r w:rsidR="00E279A8" w:rsidRPr="0050741C">
        <w:rPr>
          <w:lang w:val="en-US"/>
        </w:rPr>
        <w:t xml:space="preserve"> This level may have declined in</w:t>
      </w:r>
      <w:r w:rsidR="00525496" w:rsidRPr="0050741C">
        <w:rPr>
          <w:lang w:val="en-US"/>
        </w:rPr>
        <w:t xml:space="preserve"> industrialized countries in</w:t>
      </w:r>
      <w:r w:rsidR="00E279A8" w:rsidRPr="0050741C">
        <w:rPr>
          <w:lang w:val="en-US"/>
        </w:rPr>
        <w:t xml:space="preserve"> recent years: Data for Austria indicates, for example, an average occup</w:t>
      </w:r>
      <w:r w:rsidR="0068731E" w:rsidRPr="0050741C">
        <w:rPr>
          <w:lang w:val="en-US"/>
        </w:rPr>
        <w:t>ancy of 1.4</w:t>
      </w:r>
      <w:r w:rsidR="00606D15" w:rsidRPr="0050741C">
        <w:rPr>
          <w:lang w:val="en-US"/>
        </w:rPr>
        <w:t xml:space="preserve"> persons per car</w:t>
      </w:r>
      <w:r w:rsidR="0068731E" w:rsidRPr="0050741C">
        <w:rPr>
          <w:lang w:val="en-US"/>
        </w:rPr>
        <w:t xml:space="preserve"> in 1990, and 1.2 in 2015</w:t>
      </w:r>
      <w:r w:rsidR="00E279A8" w:rsidRPr="0050741C">
        <w:rPr>
          <w:lang w:val="en-US"/>
        </w:rPr>
        <w:t xml:space="preserve"> (Umweltbundesamt 2017).</w:t>
      </w:r>
    </w:p>
    <w:p w14:paraId="0311B705" w14:textId="77777777" w:rsidR="002233EE" w:rsidRPr="0050741C" w:rsidRDefault="002233EE" w:rsidP="00901DF3">
      <w:pPr>
        <w:spacing w:line="480" w:lineRule="auto"/>
        <w:jc w:val="both"/>
        <w:rPr>
          <w:lang w:val="en-US"/>
        </w:rPr>
      </w:pPr>
    </w:p>
    <w:p w14:paraId="7377BF4F" w14:textId="3DBA9561" w:rsidR="00273056" w:rsidRPr="0050741C" w:rsidRDefault="002233EE" w:rsidP="00901DF3">
      <w:pPr>
        <w:spacing w:line="480" w:lineRule="auto"/>
        <w:jc w:val="both"/>
        <w:rPr>
          <w:lang w:val="en-US"/>
        </w:rPr>
      </w:pPr>
      <w:r w:rsidRPr="0050741C">
        <w:rPr>
          <w:lang w:val="en-US"/>
        </w:rPr>
        <w:t>Less information is available regarding cycling. The European C</w:t>
      </w:r>
      <w:r w:rsidR="003F00F8" w:rsidRPr="0050741C">
        <w:rPr>
          <w:lang w:val="en-US"/>
        </w:rPr>
        <w:t>yclists’ Federation</w:t>
      </w:r>
      <w:r w:rsidRPr="0050741C">
        <w:rPr>
          <w:lang w:val="en-US"/>
        </w:rPr>
        <w:t xml:space="preserve"> (2016)</w:t>
      </w:r>
      <w:r w:rsidR="00F667AB" w:rsidRPr="0050741C">
        <w:rPr>
          <w:lang w:val="en-US"/>
        </w:rPr>
        <w:t xml:space="preserve"> </w:t>
      </w:r>
      <w:r w:rsidR="00944015" w:rsidRPr="0050741C">
        <w:rPr>
          <w:lang w:val="en-US"/>
        </w:rPr>
        <w:t>claims</w:t>
      </w:r>
      <w:r w:rsidR="00F667AB" w:rsidRPr="0050741C">
        <w:rPr>
          <w:lang w:val="en-US"/>
        </w:rPr>
        <w:t xml:space="preserve"> that in the</w:t>
      </w:r>
      <w:r w:rsidRPr="0050741C">
        <w:rPr>
          <w:lang w:val="en-US"/>
        </w:rPr>
        <w:t xml:space="preserve"> EU</w:t>
      </w:r>
      <w:r w:rsidR="00944015" w:rsidRPr="0050741C">
        <w:rPr>
          <w:lang w:val="en-US"/>
        </w:rPr>
        <w:t>,</w:t>
      </w:r>
      <w:r w:rsidRPr="0050741C">
        <w:rPr>
          <w:lang w:val="en-US"/>
        </w:rPr>
        <w:t xml:space="preserve"> 134 billion km </w:t>
      </w:r>
      <w:r w:rsidR="00944015" w:rsidRPr="0050741C">
        <w:rPr>
          <w:lang w:val="en-US"/>
        </w:rPr>
        <w:t>are cycled</w:t>
      </w:r>
      <w:r w:rsidR="00976503" w:rsidRPr="0050741C">
        <w:rPr>
          <w:lang w:val="en-US"/>
        </w:rPr>
        <w:t xml:space="preserve"> every year</w:t>
      </w:r>
      <w:r w:rsidR="00944015" w:rsidRPr="0050741C">
        <w:rPr>
          <w:lang w:val="en-US"/>
        </w:rPr>
        <w:t xml:space="preserve">. </w:t>
      </w:r>
      <w:r w:rsidR="00504639" w:rsidRPr="0050741C">
        <w:rPr>
          <w:lang w:val="en-US"/>
        </w:rPr>
        <w:t>Compared to E</w:t>
      </w:r>
      <w:r w:rsidR="00976503" w:rsidRPr="0050741C">
        <w:rPr>
          <w:lang w:val="en-US"/>
        </w:rPr>
        <w:t>U</w:t>
      </w:r>
      <w:r w:rsidR="00504639" w:rsidRPr="0050741C">
        <w:rPr>
          <w:lang w:val="en-US"/>
        </w:rPr>
        <w:t xml:space="preserve"> (EC 2017) </w:t>
      </w:r>
      <w:r w:rsidR="00976503" w:rsidRPr="0050741C">
        <w:rPr>
          <w:lang w:val="en-US"/>
        </w:rPr>
        <w:t xml:space="preserve">estimates of </w:t>
      </w:r>
      <w:r w:rsidR="00504639" w:rsidRPr="0050741C">
        <w:rPr>
          <w:lang w:val="en-US"/>
        </w:rPr>
        <w:t xml:space="preserve">4.719 trillion car pkm, </w:t>
      </w:r>
      <w:r w:rsidR="00305F9E" w:rsidRPr="0050741C">
        <w:rPr>
          <w:lang w:val="en-US"/>
        </w:rPr>
        <w:t>the ratio of car to bicycle pkm is 32:1.</w:t>
      </w:r>
      <w:r w:rsidR="00976503" w:rsidRPr="0050741C">
        <w:rPr>
          <w:lang w:val="en-US"/>
        </w:rPr>
        <w:t xml:space="preserve"> </w:t>
      </w:r>
      <w:r w:rsidR="003615D6" w:rsidRPr="0050741C">
        <w:rPr>
          <w:lang w:val="en-US"/>
        </w:rPr>
        <w:t>There appears to be no data for European walking</w:t>
      </w:r>
      <w:r w:rsidR="008A4612" w:rsidRPr="0050741C">
        <w:rPr>
          <w:lang w:val="en-US"/>
        </w:rPr>
        <w:t xml:space="preserve">. Bassett et al. (2008) </w:t>
      </w:r>
      <w:r w:rsidR="00351834" w:rsidRPr="0050741C">
        <w:rPr>
          <w:lang w:val="en-US"/>
        </w:rPr>
        <w:t>suggest that in the USA, people walk</w:t>
      </w:r>
      <w:r w:rsidR="008A4612" w:rsidRPr="0050741C">
        <w:rPr>
          <w:lang w:val="en-US"/>
        </w:rPr>
        <w:t xml:space="preserve"> 141 km per capita and year, </w:t>
      </w:r>
      <w:r w:rsidR="007F331C" w:rsidRPr="0050741C">
        <w:rPr>
          <w:lang w:val="en-US"/>
        </w:rPr>
        <w:t>i.e. less than 400 m per day, while in Denmark, this value is</w:t>
      </w:r>
      <w:r w:rsidR="00D30AF8" w:rsidRPr="0050741C">
        <w:rPr>
          <w:lang w:val="en-US"/>
        </w:rPr>
        <w:t xml:space="preserve"> </w:t>
      </w:r>
      <w:r w:rsidR="007F331C" w:rsidRPr="0050741C">
        <w:rPr>
          <w:lang w:val="en-US"/>
        </w:rPr>
        <w:t xml:space="preserve">three times higher, at 1.18 km per day, or </w:t>
      </w:r>
      <w:r w:rsidR="00D30AF8" w:rsidRPr="0050741C">
        <w:rPr>
          <w:lang w:val="en-US"/>
        </w:rPr>
        <w:t xml:space="preserve">431 km per year. </w:t>
      </w:r>
      <w:r w:rsidR="007F331C" w:rsidRPr="0050741C">
        <w:rPr>
          <w:lang w:val="en-US"/>
        </w:rPr>
        <w:t>Note that this</w:t>
      </w:r>
      <w:r w:rsidR="00773BC1" w:rsidRPr="0050741C">
        <w:rPr>
          <w:lang w:val="en-US"/>
        </w:rPr>
        <w:t xml:space="preserve"> d</w:t>
      </w:r>
      <w:r w:rsidR="00F87FEE" w:rsidRPr="0050741C">
        <w:rPr>
          <w:lang w:val="en-US"/>
        </w:rPr>
        <w:t>ata refers to ‘trips’</w:t>
      </w:r>
      <w:r w:rsidR="007F331C" w:rsidRPr="0050741C">
        <w:rPr>
          <w:lang w:val="en-US"/>
        </w:rPr>
        <w:t xml:space="preserve">, i.e. </w:t>
      </w:r>
      <w:r w:rsidR="003615D6" w:rsidRPr="0050741C">
        <w:rPr>
          <w:lang w:val="en-US"/>
        </w:rPr>
        <w:lastRenderedPageBreak/>
        <w:t>excludes</w:t>
      </w:r>
      <w:r w:rsidR="007F331C" w:rsidRPr="0050741C">
        <w:rPr>
          <w:lang w:val="en-US"/>
        </w:rPr>
        <w:t xml:space="preserve"> movement at home or at work</w:t>
      </w:r>
      <w:r w:rsidR="00F87FEE" w:rsidRPr="0050741C">
        <w:rPr>
          <w:lang w:val="en-US"/>
        </w:rPr>
        <w:t>.</w:t>
      </w:r>
      <w:r w:rsidR="00773BC1" w:rsidRPr="0050741C">
        <w:rPr>
          <w:lang w:val="en-US"/>
        </w:rPr>
        <w:t xml:space="preserve"> </w:t>
      </w:r>
      <w:r w:rsidR="007F331C" w:rsidRPr="0050741C">
        <w:rPr>
          <w:lang w:val="en-US"/>
        </w:rPr>
        <w:t>At an estimated</w:t>
      </w:r>
      <w:r w:rsidR="00B72620" w:rsidRPr="0050741C">
        <w:rPr>
          <w:lang w:val="en-US"/>
        </w:rPr>
        <w:t xml:space="preserve"> </w:t>
      </w:r>
      <w:r w:rsidR="007F331C" w:rsidRPr="0050741C">
        <w:rPr>
          <w:lang w:val="en-US"/>
        </w:rPr>
        <w:t>daily walking distance of</w:t>
      </w:r>
      <w:r w:rsidR="00820AF2" w:rsidRPr="0050741C">
        <w:rPr>
          <w:lang w:val="en-US"/>
        </w:rPr>
        <w:t xml:space="preserve"> 1.</w:t>
      </w:r>
      <w:r w:rsidR="00717392" w:rsidRPr="0050741C">
        <w:rPr>
          <w:lang w:val="en-US"/>
        </w:rPr>
        <w:t>2</w:t>
      </w:r>
      <w:r w:rsidR="00B72620" w:rsidRPr="0050741C">
        <w:rPr>
          <w:lang w:val="en-US"/>
        </w:rPr>
        <w:t xml:space="preserve"> km</w:t>
      </w:r>
      <w:r w:rsidR="001174FE" w:rsidRPr="0050741C">
        <w:rPr>
          <w:lang w:val="en-US"/>
        </w:rPr>
        <w:t xml:space="preserve"> in the European Union</w:t>
      </w:r>
      <w:r w:rsidR="000C3DBF" w:rsidRPr="0050741C">
        <w:rPr>
          <w:lang w:val="en-US"/>
        </w:rPr>
        <w:t xml:space="preserve"> (based on Bassett et al. 2008)</w:t>
      </w:r>
      <w:r w:rsidR="001174FE" w:rsidRPr="0050741C">
        <w:rPr>
          <w:lang w:val="en-US"/>
        </w:rPr>
        <w:t xml:space="preserve">, </w:t>
      </w:r>
      <w:r w:rsidR="000C3DBF" w:rsidRPr="0050741C">
        <w:rPr>
          <w:lang w:val="en-US"/>
        </w:rPr>
        <w:t xml:space="preserve">the </w:t>
      </w:r>
      <w:r w:rsidR="00AB6F92">
        <w:rPr>
          <w:lang w:val="en-US"/>
        </w:rPr>
        <w:t>region</w:t>
      </w:r>
      <w:r w:rsidR="000C3DBF" w:rsidRPr="0050741C">
        <w:rPr>
          <w:lang w:val="en-US"/>
        </w:rPr>
        <w:t>’s</w:t>
      </w:r>
      <w:r w:rsidR="00FF6232" w:rsidRPr="0050741C">
        <w:rPr>
          <w:lang w:val="en-US"/>
        </w:rPr>
        <w:t xml:space="preserve"> </w:t>
      </w:r>
      <w:r w:rsidR="001174FE" w:rsidRPr="0050741C">
        <w:rPr>
          <w:lang w:val="en-US"/>
        </w:rPr>
        <w:t xml:space="preserve">500 million </w:t>
      </w:r>
      <w:r w:rsidR="0079338A" w:rsidRPr="0050741C">
        <w:rPr>
          <w:lang w:val="en-US"/>
        </w:rPr>
        <w:t>residents</w:t>
      </w:r>
      <w:r w:rsidR="001174FE" w:rsidRPr="0050741C">
        <w:rPr>
          <w:lang w:val="en-US"/>
        </w:rPr>
        <w:t xml:space="preserve"> may </w:t>
      </w:r>
      <w:r w:rsidR="000C3DBF" w:rsidRPr="0050741C">
        <w:rPr>
          <w:lang w:val="en-US"/>
        </w:rPr>
        <w:t>walk</w:t>
      </w:r>
      <w:r w:rsidR="001174FE" w:rsidRPr="0050741C">
        <w:rPr>
          <w:lang w:val="en-US"/>
        </w:rPr>
        <w:t xml:space="preserve"> </w:t>
      </w:r>
      <w:r w:rsidR="0079338A" w:rsidRPr="0050741C">
        <w:rPr>
          <w:lang w:val="en-US"/>
        </w:rPr>
        <w:t>some 180 billion km per year.</w:t>
      </w:r>
      <w:r w:rsidR="00BA5473" w:rsidRPr="0050741C">
        <w:rPr>
          <w:lang w:val="en-US"/>
        </w:rPr>
        <w:t xml:space="preserve"> </w:t>
      </w:r>
      <w:r w:rsidR="00820AF2" w:rsidRPr="0050741C">
        <w:rPr>
          <w:lang w:val="en-US"/>
        </w:rPr>
        <w:t xml:space="preserve"> </w:t>
      </w:r>
    </w:p>
    <w:p w14:paraId="71EE5D7D" w14:textId="77777777" w:rsidR="00BD47EB" w:rsidRPr="0050741C" w:rsidRDefault="00BD47EB" w:rsidP="00901DF3">
      <w:pPr>
        <w:spacing w:line="480" w:lineRule="auto"/>
        <w:jc w:val="both"/>
        <w:rPr>
          <w:lang w:val="en-US"/>
        </w:rPr>
      </w:pPr>
    </w:p>
    <w:p w14:paraId="4573EAFE" w14:textId="77777777" w:rsidR="000A6BA9" w:rsidRPr="0050741C" w:rsidRDefault="000A6BA9" w:rsidP="00901DF3">
      <w:pPr>
        <w:spacing w:line="480" w:lineRule="auto"/>
        <w:jc w:val="both"/>
        <w:rPr>
          <w:i/>
          <w:lang w:val="en-US"/>
        </w:rPr>
      </w:pPr>
      <w:r w:rsidRPr="0050741C">
        <w:rPr>
          <w:i/>
          <w:lang w:val="en-US"/>
        </w:rPr>
        <w:t>Unit costs</w:t>
      </w:r>
    </w:p>
    <w:p w14:paraId="0B0AFE66" w14:textId="0C221F7B" w:rsidR="00F12360" w:rsidRPr="00EE3C78" w:rsidRDefault="00FC60DD" w:rsidP="00901DF3">
      <w:pPr>
        <w:spacing w:line="480" w:lineRule="auto"/>
        <w:jc w:val="both"/>
        <w:rPr>
          <w:bCs/>
          <w:lang w:val="en-US"/>
        </w:rPr>
      </w:pPr>
      <w:r w:rsidRPr="0050741C">
        <w:rPr>
          <w:lang w:val="en-US"/>
        </w:rPr>
        <w:t>All unit c</w:t>
      </w:r>
      <w:r w:rsidR="00166717" w:rsidRPr="0050741C">
        <w:rPr>
          <w:lang w:val="en-US"/>
        </w:rPr>
        <w:t xml:space="preserve">osts </w:t>
      </w:r>
      <w:r w:rsidRPr="0050741C">
        <w:rPr>
          <w:lang w:val="en-US"/>
        </w:rPr>
        <w:t>represent averaged values</w:t>
      </w:r>
      <w:r w:rsidR="00166717" w:rsidRPr="0050741C">
        <w:rPr>
          <w:lang w:val="en-US"/>
        </w:rPr>
        <w:t xml:space="preserve"> per passenger </w:t>
      </w:r>
      <w:r w:rsidR="00F15CD2" w:rsidRPr="0050741C">
        <w:rPr>
          <w:lang w:val="en-US"/>
        </w:rPr>
        <w:t>kilometer</w:t>
      </w:r>
      <w:r w:rsidR="00166717" w:rsidRPr="0050741C">
        <w:rPr>
          <w:lang w:val="en-US"/>
        </w:rPr>
        <w:t xml:space="preserve">, though there </w:t>
      </w:r>
      <w:r w:rsidRPr="0050741C">
        <w:rPr>
          <w:lang w:val="en-US"/>
        </w:rPr>
        <w:t>exist considerable</w:t>
      </w:r>
      <w:r w:rsidR="00782BBA" w:rsidRPr="0050741C">
        <w:rPr>
          <w:lang w:val="en-US"/>
        </w:rPr>
        <w:t xml:space="preserve"> differences between vehicles</w:t>
      </w:r>
      <w:r w:rsidR="00A16DE3">
        <w:rPr>
          <w:lang w:val="en-US"/>
        </w:rPr>
        <w:t>,</w:t>
      </w:r>
      <w:r w:rsidR="00782BBA" w:rsidRPr="0050741C">
        <w:rPr>
          <w:lang w:val="en-US"/>
        </w:rPr>
        <w:t xml:space="preserve"> </w:t>
      </w:r>
      <w:r w:rsidR="00166717" w:rsidRPr="0050741C">
        <w:rPr>
          <w:lang w:val="en-US"/>
        </w:rPr>
        <w:t>locality</w:t>
      </w:r>
      <w:r w:rsidR="00782BBA" w:rsidRPr="0050741C">
        <w:rPr>
          <w:lang w:val="en-US"/>
        </w:rPr>
        <w:t xml:space="preserve"> of impact</w:t>
      </w:r>
      <w:r w:rsidR="00A16DE3">
        <w:rPr>
          <w:lang w:val="en-US"/>
        </w:rPr>
        <w:t>, and time of the day</w:t>
      </w:r>
      <w:r w:rsidR="00166717" w:rsidRPr="0050741C">
        <w:rPr>
          <w:lang w:val="en-US"/>
        </w:rPr>
        <w:t>.</w:t>
      </w:r>
      <w:r w:rsidR="00340DA2" w:rsidRPr="0050741C">
        <w:rPr>
          <w:lang w:val="en-US"/>
        </w:rPr>
        <w:t xml:space="preserve"> Equally </w:t>
      </w:r>
      <w:r w:rsidRPr="0050741C">
        <w:rPr>
          <w:lang w:val="en-US"/>
        </w:rPr>
        <w:t>important are differences</w:t>
      </w:r>
      <w:r w:rsidR="0026312E" w:rsidRPr="0050741C">
        <w:rPr>
          <w:lang w:val="en-US"/>
        </w:rPr>
        <w:t xml:space="preserve"> related to</w:t>
      </w:r>
      <w:r w:rsidRPr="0050741C">
        <w:rPr>
          <w:lang w:val="en-US"/>
        </w:rPr>
        <w:t xml:space="preserve"> economic context, i.e. where costs are income-related. </w:t>
      </w:r>
      <w:r w:rsidR="00EE3C78" w:rsidRPr="00EE3C78">
        <w:rPr>
          <w:bCs/>
          <w:lang w:val="en-US"/>
        </w:rPr>
        <w:t>All item cost values</w:t>
      </w:r>
      <w:r w:rsidR="00EE3C78">
        <w:rPr>
          <w:bCs/>
          <w:lang w:val="en-US"/>
        </w:rPr>
        <w:t xml:space="preserve"> represent average values, </w:t>
      </w:r>
      <w:r w:rsidR="00EE3C78" w:rsidRPr="00EE3C78">
        <w:rPr>
          <w:bCs/>
          <w:lang w:val="en-US"/>
        </w:rPr>
        <w:t xml:space="preserve">based on official data for the EU where available (Korzhenevych et al. 2014), and complemented with data </w:t>
      </w:r>
      <w:r w:rsidR="007B36D9">
        <w:rPr>
          <w:bCs/>
          <w:lang w:val="en-US"/>
        </w:rPr>
        <w:t>by</w:t>
      </w:r>
      <w:r w:rsidR="00EE3C78" w:rsidRPr="00EE3C78">
        <w:rPr>
          <w:bCs/>
          <w:lang w:val="en-US"/>
        </w:rPr>
        <w:t xml:space="preserve"> Litman and Doherty (2011). </w:t>
      </w:r>
      <w:r w:rsidR="00EE3C78">
        <w:rPr>
          <w:bCs/>
          <w:lang w:val="en-US"/>
        </w:rPr>
        <w:t>This</w:t>
      </w:r>
      <w:r w:rsidR="00EE3C78" w:rsidRPr="00EE3C78">
        <w:rPr>
          <w:bCs/>
          <w:lang w:val="en-US"/>
        </w:rPr>
        <w:t xml:space="preserve"> latter </w:t>
      </w:r>
      <w:r w:rsidR="007B36D9">
        <w:rPr>
          <w:bCs/>
          <w:lang w:val="en-US"/>
        </w:rPr>
        <w:t>data base</w:t>
      </w:r>
      <w:r w:rsidR="00EE3C78" w:rsidRPr="00EE3C78">
        <w:rPr>
          <w:bCs/>
          <w:lang w:val="en-US"/>
        </w:rPr>
        <w:t xml:space="preserve"> is regularly updated, last on 24 April 2018 (</w:t>
      </w:r>
      <w:r w:rsidR="00EE3C78">
        <w:rPr>
          <w:bCs/>
          <w:lang w:val="en-US"/>
        </w:rPr>
        <w:t xml:space="preserve">for data sources see </w:t>
      </w:r>
      <w:r w:rsidR="00EE3C78" w:rsidRPr="00EE3C78">
        <w:rPr>
          <w:bCs/>
          <w:lang w:val="en-US"/>
        </w:rPr>
        <w:t>VTPI 2018). Cost assessments also rely on the peer-reviewed literature (e.g. Coady et al. 2017) as well as reports and datasets by institutions and organizations (e.g. Center of Transport Analytics 2017; IEA 2017; Lancet Commission</w:t>
      </w:r>
      <w:r w:rsidR="007B36D9">
        <w:rPr>
          <w:bCs/>
          <w:lang w:val="en-US"/>
        </w:rPr>
        <w:t xml:space="preserve"> </w:t>
      </w:r>
      <w:r w:rsidR="00EE3C78" w:rsidRPr="00EE3C78">
        <w:rPr>
          <w:bCs/>
          <w:lang w:val="en-US"/>
        </w:rPr>
        <w:t>2017).</w:t>
      </w:r>
      <w:r w:rsidR="00EE3C78">
        <w:rPr>
          <w:bCs/>
          <w:lang w:val="en-US"/>
        </w:rPr>
        <w:t xml:space="preserve"> </w:t>
      </w:r>
      <w:r w:rsidR="00237632">
        <w:rPr>
          <w:lang w:val="en-US"/>
        </w:rPr>
        <w:t xml:space="preserve">In a few cases, no cost assessments </w:t>
      </w:r>
      <w:r w:rsidR="00EE3C78">
        <w:rPr>
          <w:lang w:val="en-US"/>
        </w:rPr>
        <w:t>could be identified</w:t>
      </w:r>
      <w:r w:rsidR="00237632">
        <w:rPr>
          <w:lang w:val="en-US"/>
        </w:rPr>
        <w:t>, for instance in the case of soil and water pollution caused by cyclists. In such cases, the authors have provided cost estimates</w:t>
      </w:r>
      <w:r w:rsidR="00EE3C78">
        <w:rPr>
          <w:lang w:val="en-US"/>
        </w:rPr>
        <w:t>. O</w:t>
      </w:r>
      <w:r w:rsidR="00A252CC">
        <w:rPr>
          <w:lang w:val="en-US"/>
        </w:rPr>
        <w:t xml:space="preserve">nly with regard to </w:t>
      </w:r>
      <w:r w:rsidR="00EE3C78">
        <w:rPr>
          <w:lang w:val="en-US"/>
        </w:rPr>
        <w:t xml:space="preserve">two </w:t>
      </w:r>
      <w:r w:rsidR="00A252CC">
        <w:rPr>
          <w:lang w:val="en-US"/>
        </w:rPr>
        <w:t>items</w:t>
      </w:r>
      <w:r w:rsidR="00EE3C78">
        <w:rPr>
          <w:lang w:val="en-US"/>
        </w:rPr>
        <w:t>,</w:t>
      </w:r>
      <w:r w:rsidR="00A252CC">
        <w:rPr>
          <w:lang w:val="en-US"/>
        </w:rPr>
        <w:t xml:space="preserve"> Quality of Life and Branding &amp; tourism, no data </w:t>
      </w:r>
      <w:r w:rsidR="00EE3C78">
        <w:rPr>
          <w:lang w:val="en-US"/>
        </w:rPr>
        <w:t xml:space="preserve">was found </w:t>
      </w:r>
      <w:r w:rsidR="007B36D9">
        <w:rPr>
          <w:lang w:val="en-US"/>
        </w:rPr>
        <w:t>to</w:t>
      </w:r>
      <w:r w:rsidR="00A252CC">
        <w:rPr>
          <w:lang w:val="en-US"/>
        </w:rPr>
        <w:t xml:space="preserve"> support calculations</w:t>
      </w:r>
      <w:r w:rsidR="00EE3C78">
        <w:rPr>
          <w:lang w:val="en-US"/>
        </w:rPr>
        <w:t>, and these have to remain open</w:t>
      </w:r>
      <w:r w:rsidR="00237632">
        <w:rPr>
          <w:lang w:val="en-US"/>
        </w:rPr>
        <w:t xml:space="preserve">. </w:t>
      </w:r>
      <w:r w:rsidR="00D00DCF" w:rsidRPr="0050741C">
        <w:rPr>
          <w:lang w:val="en-US"/>
        </w:rPr>
        <w:t>Where</w:t>
      </w:r>
      <w:r w:rsidR="007E0918" w:rsidRPr="0050741C">
        <w:rPr>
          <w:lang w:val="en-US"/>
        </w:rPr>
        <w:t xml:space="preserve"> data is compared to Canadian (</w:t>
      </w:r>
      <w:r w:rsidR="00841824">
        <w:rPr>
          <w:lang w:val="en-US"/>
        </w:rPr>
        <w:t>Litman and Doherty, 2011</w:t>
      </w:r>
      <w:r w:rsidR="007E0918" w:rsidRPr="0050741C">
        <w:rPr>
          <w:lang w:val="en-US"/>
        </w:rPr>
        <w:t>) or Danish values (</w:t>
      </w:r>
      <w:r w:rsidR="00A31DC1" w:rsidRPr="0050741C">
        <w:rPr>
          <w:lang w:val="en-US"/>
        </w:rPr>
        <w:t>Center of Transport Analytics</w:t>
      </w:r>
      <w:r w:rsidR="00841824">
        <w:rPr>
          <w:lang w:val="en-US"/>
        </w:rPr>
        <w:t>,</w:t>
      </w:r>
      <w:r w:rsidR="00A31DC1" w:rsidRPr="0050741C">
        <w:rPr>
          <w:lang w:val="en-US"/>
        </w:rPr>
        <w:t xml:space="preserve"> 2017</w:t>
      </w:r>
      <w:r w:rsidR="007E0918" w:rsidRPr="0050741C">
        <w:rPr>
          <w:lang w:val="en-US"/>
        </w:rPr>
        <w:t xml:space="preserve">), averaged </w:t>
      </w:r>
      <w:r w:rsidR="00D00DCF" w:rsidRPr="0050741C">
        <w:rPr>
          <w:lang w:val="en-US"/>
        </w:rPr>
        <w:t>European area</w:t>
      </w:r>
      <w:r w:rsidR="007E0918" w:rsidRPr="0050741C">
        <w:rPr>
          <w:lang w:val="en-US"/>
        </w:rPr>
        <w:t xml:space="preserve"> values are calculated at </w:t>
      </w:r>
      <w:r w:rsidR="00D00DCF" w:rsidRPr="0050741C">
        <w:rPr>
          <w:lang w:val="en-US"/>
        </w:rPr>
        <w:t>60</w:t>
      </w:r>
      <w:r w:rsidR="007E0918" w:rsidRPr="0050741C">
        <w:rPr>
          <w:lang w:val="en-US"/>
        </w:rPr>
        <w:t xml:space="preserve">% and </w:t>
      </w:r>
      <w:r w:rsidR="003B4959" w:rsidRPr="0050741C">
        <w:rPr>
          <w:lang w:val="en-US"/>
        </w:rPr>
        <w:t>7</w:t>
      </w:r>
      <w:r w:rsidR="007E0918" w:rsidRPr="0050741C">
        <w:rPr>
          <w:lang w:val="en-US"/>
        </w:rPr>
        <w:t>9% of these respective countries’ GDPs</w:t>
      </w:r>
      <w:r w:rsidR="00782BBA" w:rsidRPr="0050741C">
        <w:rPr>
          <w:lang w:val="en-US"/>
        </w:rPr>
        <w:t xml:space="preserve"> (based on World Bank, 2017)</w:t>
      </w:r>
      <w:r w:rsidR="007E0918" w:rsidRPr="0050741C">
        <w:rPr>
          <w:lang w:val="en-US"/>
        </w:rPr>
        <w:t xml:space="preserve">. </w:t>
      </w:r>
      <w:r w:rsidR="00D426CD" w:rsidRPr="0050741C">
        <w:rPr>
          <w:lang w:val="en-US"/>
        </w:rPr>
        <w:t xml:space="preserve">All </w:t>
      </w:r>
      <w:r w:rsidR="00043143" w:rsidRPr="0050741C">
        <w:rPr>
          <w:lang w:val="en-US"/>
        </w:rPr>
        <w:t>values are inflation-</w:t>
      </w:r>
      <w:r w:rsidR="00B55D44" w:rsidRPr="0050741C">
        <w:rPr>
          <w:lang w:val="en-US"/>
        </w:rPr>
        <w:t>adjusted to mid-2017</w:t>
      </w:r>
      <w:r w:rsidR="003E7A6D" w:rsidRPr="0050741C">
        <w:rPr>
          <w:lang w:val="en-US"/>
        </w:rPr>
        <w:t xml:space="preserve"> or averaged 2017 consumer price index</w:t>
      </w:r>
      <w:r w:rsidR="00B55D44" w:rsidRPr="0050741C">
        <w:rPr>
          <w:lang w:val="en-US"/>
        </w:rPr>
        <w:t xml:space="preserve"> values</w:t>
      </w:r>
      <w:r w:rsidR="00066BC8" w:rsidRPr="0050741C">
        <w:rPr>
          <w:lang w:val="en-US"/>
        </w:rPr>
        <w:t xml:space="preserve"> </w:t>
      </w:r>
      <w:r w:rsidR="00782BBA" w:rsidRPr="0050741C">
        <w:rPr>
          <w:lang w:val="en-US"/>
        </w:rPr>
        <w:t xml:space="preserve">(World Bank, </w:t>
      </w:r>
      <w:r w:rsidR="00F25E9C" w:rsidRPr="0050741C">
        <w:rPr>
          <w:lang w:val="en-US"/>
        </w:rPr>
        <w:t>2017</w:t>
      </w:r>
      <w:r w:rsidR="00066BC8" w:rsidRPr="0050741C">
        <w:rPr>
          <w:lang w:val="en-US"/>
        </w:rPr>
        <w:t xml:space="preserve">), </w:t>
      </w:r>
      <w:r w:rsidR="00B55D44" w:rsidRPr="0050741C">
        <w:rPr>
          <w:lang w:val="en-US"/>
        </w:rPr>
        <w:t xml:space="preserve">using, for example, the </w:t>
      </w:r>
      <w:r w:rsidR="00D8483D" w:rsidRPr="0050741C">
        <w:rPr>
          <w:lang w:val="en-US"/>
        </w:rPr>
        <w:t>US of Labour Statistics’ Inflation Calculator</w:t>
      </w:r>
      <w:r w:rsidR="00F6061D" w:rsidRPr="0050741C">
        <w:rPr>
          <w:lang w:val="en-US"/>
        </w:rPr>
        <w:t>,</w:t>
      </w:r>
      <w:r w:rsidR="00D8483D" w:rsidRPr="0050741C">
        <w:rPr>
          <w:lang w:val="en-US"/>
        </w:rPr>
        <w:t xml:space="preserve"> </w:t>
      </w:r>
      <w:hyperlink r:id="rId9" w:history="1">
        <w:r w:rsidR="00D8483D" w:rsidRPr="0050741C">
          <w:rPr>
            <w:rStyle w:val="Hyperlink"/>
            <w:lang w:val="en-US"/>
          </w:rPr>
          <w:t>https://www.bls.gov/data/inflation_calculator.htm</w:t>
        </w:r>
      </w:hyperlink>
      <w:r w:rsidR="00066BC8" w:rsidRPr="0050741C">
        <w:rPr>
          <w:lang w:val="en-US"/>
        </w:rPr>
        <w:t xml:space="preserve">. </w:t>
      </w:r>
      <w:r w:rsidR="00782BBA" w:rsidRPr="0050741C">
        <w:rPr>
          <w:lang w:val="en-US"/>
        </w:rPr>
        <w:t>Where necessary, values are</w:t>
      </w:r>
      <w:r w:rsidR="00B55D44" w:rsidRPr="0050741C">
        <w:rPr>
          <w:lang w:val="en-US"/>
        </w:rPr>
        <w:t xml:space="preserve"> converted </w:t>
      </w:r>
      <w:r w:rsidR="00F6061D" w:rsidRPr="0050741C">
        <w:rPr>
          <w:lang w:val="en-US"/>
        </w:rPr>
        <w:t xml:space="preserve">to </w:t>
      </w:r>
      <w:r w:rsidR="00D8483D" w:rsidRPr="0050741C">
        <w:rPr>
          <w:lang w:val="en-US"/>
        </w:rPr>
        <w:t xml:space="preserve">Euros </w:t>
      </w:r>
      <w:r w:rsidR="00944015" w:rsidRPr="0050741C">
        <w:rPr>
          <w:lang w:val="en-US"/>
        </w:rPr>
        <w:t xml:space="preserve">at June 2017 exchange rates </w:t>
      </w:r>
      <w:r w:rsidR="00D8483D" w:rsidRPr="0050741C">
        <w:rPr>
          <w:lang w:val="en-US"/>
        </w:rPr>
        <w:t>(</w:t>
      </w:r>
      <w:hyperlink r:id="rId10" w:history="1">
        <w:r w:rsidR="00215782" w:rsidRPr="0050741C">
          <w:rPr>
            <w:rStyle w:val="Hyperlink"/>
            <w:lang w:val="en-US"/>
          </w:rPr>
          <w:t>www.oanda.com)</w:t>
        </w:r>
      </w:hyperlink>
      <w:r w:rsidR="00D8483D" w:rsidRPr="0050741C">
        <w:rPr>
          <w:lang w:val="en-US"/>
        </w:rPr>
        <w:t>.</w:t>
      </w:r>
      <w:r w:rsidR="005E1FBF" w:rsidRPr="0050741C">
        <w:rPr>
          <w:lang w:val="en-US"/>
        </w:rPr>
        <w:t xml:space="preserve"> All calculations and assumptions </w:t>
      </w:r>
      <w:r w:rsidR="00066BC8" w:rsidRPr="0050741C">
        <w:rPr>
          <w:lang w:val="en-US"/>
        </w:rPr>
        <w:t>are detailed in the</w:t>
      </w:r>
      <w:r w:rsidR="005E1FBF" w:rsidRPr="0050741C">
        <w:rPr>
          <w:lang w:val="en-US"/>
        </w:rPr>
        <w:t xml:space="preserve"> Annex.</w:t>
      </w:r>
    </w:p>
    <w:p w14:paraId="3FCE46A7" w14:textId="77777777" w:rsidR="005F28BD" w:rsidRPr="0050741C" w:rsidRDefault="005F28BD" w:rsidP="00901DF3">
      <w:pPr>
        <w:spacing w:line="480" w:lineRule="auto"/>
        <w:jc w:val="both"/>
        <w:rPr>
          <w:lang w:val="en-US"/>
        </w:rPr>
      </w:pPr>
    </w:p>
    <w:p w14:paraId="677945F7" w14:textId="77777777" w:rsidR="005F28BD" w:rsidRPr="0050741C" w:rsidRDefault="005F28BD" w:rsidP="00901DF3">
      <w:pPr>
        <w:spacing w:line="480" w:lineRule="auto"/>
        <w:jc w:val="both"/>
        <w:rPr>
          <w:i/>
          <w:lang w:val="en-US"/>
        </w:rPr>
      </w:pPr>
      <w:r w:rsidRPr="0050741C">
        <w:rPr>
          <w:i/>
          <w:lang w:val="en-US"/>
        </w:rPr>
        <w:t>Limitations</w:t>
      </w:r>
    </w:p>
    <w:p w14:paraId="327DF1A5" w14:textId="747D9B7C" w:rsidR="005F28BD" w:rsidRPr="0050741C" w:rsidRDefault="00D426CD" w:rsidP="00901DF3">
      <w:pPr>
        <w:spacing w:line="480" w:lineRule="auto"/>
        <w:jc w:val="both"/>
        <w:rPr>
          <w:lang w:val="en-US"/>
        </w:rPr>
      </w:pPr>
      <w:r w:rsidRPr="0050741C">
        <w:rPr>
          <w:lang w:val="en-US"/>
        </w:rPr>
        <w:t>Wherever costs are averaged, this hides complexity. For example,</w:t>
      </w:r>
      <w:r w:rsidR="00E71130" w:rsidRPr="0050741C">
        <w:rPr>
          <w:lang w:val="en-US"/>
        </w:rPr>
        <w:t xml:space="preserve"> </w:t>
      </w:r>
      <w:r w:rsidR="00B76C76">
        <w:rPr>
          <w:lang w:val="en-US"/>
        </w:rPr>
        <w:t xml:space="preserve">the </w:t>
      </w:r>
      <w:r w:rsidR="00782BBA" w:rsidRPr="0050741C">
        <w:rPr>
          <w:lang w:val="en-US"/>
        </w:rPr>
        <w:t>climate change abatement cost</w:t>
      </w:r>
      <w:r w:rsidR="00B76C76">
        <w:rPr>
          <w:lang w:val="en-US"/>
        </w:rPr>
        <w:t xml:space="preserve"> is</w:t>
      </w:r>
      <w:r w:rsidR="00782BBA" w:rsidRPr="0050741C">
        <w:rPr>
          <w:lang w:val="en-US"/>
        </w:rPr>
        <w:t xml:space="preserve"> expected to increase</w:t>
      </w:r>
      <w:r w:rsidR="00E71130" w:rsidRPr="0050741C">
        <w:rPr>
          <w:lang w:val="en-US"/>
        </w:rPr>
        <w:t xml:space="preserve"> over time, as cheaper option</w:t>
      </w:r>
      <w:r w:rsidR="0026312E" w:rsidRPr="0050741C">
        <w:rPr>
          <w:lang w:val="en-US"/>
        </w:rPr>
        <w:t>s</w:t>
      </w:r>
      <w:r w:rsidR="00E71130" w:rsidRPr="0050741C">
        <w:rPr>
          <w:lang w:val="en-US"/>
        </w:rPr>
        <w:t xml:space="preserve"> for GHG emission reductions become unavailable</w:t>
      </w:r>
      <w:r w:rsidRPr="0050741C">
        <w:rPr>
          <w:lang w:val="en-US"/>
        </w:rPr>
        <w:t xml:space="preserve">. </w:t>
      </w:r>
      <w:r w:rsidR="005D258E" w:rsidRPr="0050741C">
        <w:rPr>
          <w:lang w:val="en-US"/>
        </w:rPr>
        <w:t>This</w:t>
      </w:r>
      <w:r w:rsidR="00021899" w:rsidRPr="0050741C">
        <w:rPr>
          <w:lang w:val="en-US"/>
        </w:rPr>
        <w:t xml:space="preserve"> implies a poten</w:t>
      </w:r>
      <w:r w:rsidR="00752EF0" w:rsidRPr="0050741C">
        <w:rPr>
          <w:lang w:val="en-US"/>
        </w:rPr>
        <w:t>tial under/overrepresentation of</w:t>
      </w:r>
      <w:r w:rsidR="00B76C76">
        <w:rPr>
          <w:lang w:val="en-US"/>
        </w:rPr>
        <w:t xml:space="preserve"> </w:t>
      </w:r>
      <w:r w:rsidR="00F921D4" w:rsidRPr="0050741C">
        <w:rPr>
          <w:lang w:val="en-US"/>
        </w:rPr>
        <w:t>older cost assessments</w:t>
      </w:r>
      <w:r w:rsidR="005D258E" w:rsidRPr="0050741C">
        <w:rPr>
          <w:lang w:val="en-US"/>
        </w:rPr>
        <w:t xml:space="preserve"> that have been extrapolated </w:t>
      </w:r>
      <w:r w:rsidR="00B76C76">
        <w:rPr>
          <w:lang w:val="en-US"/>
        </w:rPr>
        <w:t xml:space="preserve">to 2017 </w:t>
      </w:r>
      <w:r w:rsidR="005D258E" w:rsidRPr="0050741C">
        <w:rPr>
          <w:lang w:val="en-US"/>
        </w:rPr>
        <w:t>in this paper</w:t>
      </w:r>
      <w:r w:rsidR="00F921D4" w:rsidRPr="0050741C">
        <w:rPr>
          <w:lang w:val="en-US"/>
        </w:rPr>
        <w:t>.</w:t>
      </w:r>
      <w:r w:rsidR="005D258E" w:rsidRPr="0050741C">
        <w:rPr>
          <w:lang w:val="en-US"/>
        </w:rPr>
        <w:t xml:space="preserve"> As c</w:t>
      </w:r>
      <w:r w:rsidRPr="0050741C">
        <w:rPr>
          <w:lang w:val="en-US"/>
        </w:rPr>
        <w:t>ost a</w:t>
      </w:r>
      <w:r w:rsidR="005D258E" w:rsidRPr="0050741C">
        <w:rPr>
          <w:lang w:val="en-US"/>
        </w:rPr>
        <w:t>lso depend</w:t>
      </w:r>
      <w:r w:rsidR="00B76C76">
        <w:rPr>
          <w:lang w:val="en-US"/>
        </w:rPr>
        <w:t>s</w:t>
      </w:r>
      <w:r w:rsidR="005D258E" w:rsidRPr="0050741C">
        <w:rPr>
          <w:lang w:val="en-US"/>
        </w:rPr>
        <w:t xml:space="preserve"> on car choices (mass</w:t>
      </w:r>
      <w:r w:rsidR="00B76C76">
        <w:rPr>
          <w:lang w:val="en-US"/>
        </w:rPr>
        <w:t xml:space="preserve"> &amp; </w:t>
      </w:r>
      <w:r w:rsidR="005D258E" w:rsidRPr="0050741C">
        <w:rPr>
          <w:lang w:val="en-US"/>
        </w:rPr>
        <w:t>motorization</w:t>
      </w:r>
      <w:r w:rsidR="00782BBA" w:rsidRPr="0050741C">
        <w:rPr>
          <w:lang w:val="en-US"/>
        </w:rPr>
        <w:t>; electric</w:t>
      </w:r>
      <w:r w:rsidR="00B76C76">
        <w:rPr>
          <w:lang w:val="en-US"/>
        </w:rPr>
        <w:t xml:space="preserve"> versus combustion</w:t>
      </w:r>
      <w:r w:rsidR="00782BBA" w:rsidRPr="0050741C">
        <w:rPr>
          <w:lang w:val="en-US"/>
        </w:rPr>
        <w:t>),</w:t>
      </w:r>
      <w:r w:rsidR="00B76C76">
        <w:rPr>
          <w:lang w:val="en-US"/>
        </w:rPr>
        <w:t xml:space="preserve"> as well as</w:t>
      </w:r>
      <w:r w:rsidR="00782BBA" w:rsidRPr="0050741C">
        <w:rPr>
          <w:lang w:val="en-US"/>
        </w:rPr>
        <w:t xml:space="preserve"> driving styles, </w:t>
      </w:r>
      <w:r w:rsidR="00125E32" w:rsidRPr="0050741C">
        <w:rPr>
          <w:lang w:val="en-US"/>
        </w:rPr>
        <w:t xml:space="preserve">averaged values do not </w:t>
      </w:r>
      <w:r w:rsidR="00782BBA" w:rsidRPr="0050741C">
        <w:rPr>
          <w:lang w:val="en-US"/>
        </w:rPr>
        <w:t>always provide</w:t>
      </w:r>
      <w:r w:rsidR="00125E32" w:rsidRPr="0050741C">
        <w:rPr>
          <w:lang w:val="en-US"/>
        </w:rPr>
        <w:t xml:space="preserve"> guidance for transport policy</w:t>
      </w:r>
      <w:r w:rsidR="00782BBA" w:rsidRPr="0050741C">
        <w:rPr>
          <w:lang w:val="en-US"/>
        </w:rPr>
        <w:t xml:space="preserve">. However, as a general rule, the highest cost </w:t>
      </w:r>
      <w:r w:rsidR="00B76C76">
        <w:rPr>
          <w:lang w:val="en-US"/>
        </w:rPr>
        <w:t>imposed by</w:t>
      </w:r>
      <w:r w:rsidR="00782BBA" w:rsidRPr="0050741C">
        <w:rPr>
          <w:lang w:val="en-US"/>
        </w:rPr>
        <w:t xml:space="preserve"> automobility </w:t>
      </w:r>
      <w:r w:rsidR="00B76C76">
        <w:rPr>
          <w:lang w:val="en-US"/>
        </w:rPr>
        <w:t>is</w:t>
      </w:r>
      <w:r w:rsidR="00782BBA" w:rsidRPr="0050741C">
        <w:rPr>
          <w:lang w:val="en-US"/>
        </w:rPr>
        <w:t xml:space="preserve"> </w:t>
      </w:r>
      <w:r w:rsidR="00B76C76">
        <w:rPr>
          <w:lang w:val="en-US"/>
        </w:rPr>
        <w:t>related to</w:t>
      </w:r>
      <w:r w:rsidR="00782BBA" w:rsidRPr="0050741C">
        <w:rPr>
          <w:lang w:val="en-US"/>
        </w:rPr>
        <w:t xml:space="preserve"> large cars in urban contexts. Where </w:t>
      </w:r>
      <w:r w:rsidR="00B76C76">
        <w:rPr>
          <w:lang w:val="en-US"/>
        </w:rPr>
        <w:t xml:space="preserve">a </w:t>
      </w:r>
      <w:r w:rsidR="00782BBA" w:rsidRPr="0050741C">
        <w:rPr>
          <w:lang w:val="en-US"/>
        </w:rPr>
        <w:t xml:space="preserve">cost </w:t>
      </w:r>
      <w:r w:rsidR="00B76C76">
        <w:rPr>
          <w:lang w:val="en-US"/>
        </w:rPr>
        <w:t>is</w:t>
      </w:r>
      <w:r w:rsidR="00782BBA" w:rsidRPr="0050741C">
        <w:rPr>
          <w:lang w:val="en-US"/>
        </w:rPr>
        <w:t xml:space="preserve"> based on estimates, this is</w:t>
      </w:r>
      <w:r w:rsidR="006F4956" w:rsidRPr="0050741C">
        <w:rPr>
          <w:lang w:val="en-US"/>
        </w:rPr>
        <w:t xml:space="preserve"> </w:t>
      </w:r>
      <w:r w:rsidR="00B76C76">
        <w:rPr>
          <w:lang w:val="en-US"/>
        </w:rPr>
        <w:t xml:space="preserve">explained </w:t>
      </w:r>
      <w:r w:rsidR="006F4956" w:rsidRPr="0050741C">
        <w:rPr>
          <w:lang w:val="en-US"/>
        </w:rPr>
        <w:t>in the text.</w:t>
      </w:r>
      <w:r w:rsidR="00DF0DD6" w:rsidRPr="0050741C">
        <w:rPr>
          <w:lang w:val="en-US"/>
        </w:rPr>
        <w:t xml:space="preserve"> </w:t>
      </w:r>
      <w:r w:rsidR="00782BBA" w:rsidRPr="0050741C">
        <w:rPr>
          <w:lang w:val="en-US"/>
        </w:rPr>
        <w:t>Overall,</w:t>
      </w:r>
      <w:r w:rsidR="00DF0DD6" w:rsidRPr="0050741C">
        <w:rPr>
          <w:lang w:val="en-US"/>
        </w:rPr>
        <w:t xml:space="preserve"> CBA portrays an equilibrium </w:t>
      </w:r>
      <w:r w:rsidR="00782BBA" w:rsidRPr="0050741C">
        <w:rPr>
          <w:lang w:val="en-US"/>
        </w:rPr>
        <w:t>of the transport system at a given point in time. This dynamic can change, as</w:t>
      </w:r>
      <w:r w:rsidR="00DF0DD6" w:rsidRPr="0050741C">
        <w:rPr>
          <w:lang w:val="en-US"/>
        </w:rPr>
        <w:t xml:space="preserve"> </w:t>
      </w:r>
      <w:r w:rsidR="00B76C76">
        <w:rPr>
          <w:lang w:val="en-US"/>
        </w:rPr>
        <w:t xml:space="preserve">available </w:t>
      </w:r>
      <w:r w:rsidR="00782BBA" w:rsidRPr="0050741C">
        <w:rPr>
          <w:lang w:val="en-US"/>
        </w:rPr>
        <w:t>i</w:t>
      </w:r>
      <w:r w:rsidR="00DF0DD6" w:rsidRPr="0050741C">
        <w:rPr>
          <w:lang w:val="en-US"/>
        </w:rPr>
        <w:t>nfrastructure influences travel time;</w:t>
      </w:r>
      <w:r w:rsidR="00782BBA" w:rsidRPr="0050741C">
        <w:rPr>
          <w:lang w:val="en-US"/>
        </w:rPr>
        <w:t xml:space="preserve"> </w:t>
      </w:r>
      <w:r w:rsidR="00B76C76">
        <w:rPr>
          <w:lang w:val="en-US"/>
        </w:rPr>
        <w:t xml:space="preserve">while </w:t>
      </w:r>
      <w:r w:rsidR="00DF0DD6" w:rsidRPr="0050741C">
        <w:rPr>
          <w:lang w:val="en-US"/>
        </w:rPr>
        <w:t xml:space="preserve">active transport modes have positive repercussions for health, </w:t>
      </w:r>
      <w:r w:rsidR="00B76C76">
        <w:rPr>
          <w:lang w:val="en-US"/>
        </w:rPr>
        <w:t xml:space="preserve">but </w:t>
      </w:r>
      <w:r w:rsidR="00DF0DD6" w:rsidRPr="0050741C">
        <w:rPr>
          <w:lang w:val="en-US"/>
        </w:rPr>
        <w:t xml:space="preserve">increase traffic risks. </w:t>
      </w:r>
      <w:r w:rsidR="005C31EB" w:rsidRPr="0050741C">
        <w:rPr>
          <w:lang w:val="en-US"/>
        </w:rPr>
        <w:t xml:space="preserve">Costs and benefits of transport projects can also accrue over different points in time. </w:t>
      </w:r>
      <w:r w:rsidR="00DF0DD6" w:rsidRPr="0050741C">
        <w:rPr>
          <w:lang w:val="en-US"/>
        </w:rPr>
        <w:t>Where cost-benefit interrelationships</w:t>
      </w:r>
      <w:r w:rsidR="00782BBA" w:rsidRPr="0050741C">
        <w:rPr>
          <w:lang w:val="en-US"/>
        </w:rPr>
        <w:t xml:space="preserve"> change, this can </w:t>
      </w:r>
      <w:r w:rsidR="002037B7" w:rsidRPr="0050741C">
        <w:rPr>
          <w:lang w:val="en-US"/>
        </w:rPr>
        <w:t>in</w:t>
      </w:r>
      <w:r w:rsidR="00D5719F" w:rsidRPr="0050741C">
        <w:rPr>
          <w:lang w:val="en-US"/>
        </w:rPr>
        <w:t>volve</w:t>
      </w:r>
      <w:r w:rsidR="002037B7" w:rsidRPr="0050741C">
        <w:rPr>
          <w:lang w:val="en-US"/>
        </w:rPr>
        <w:t xml:space="preserve"> non-linear supply curves</w:t>
      </w:r>
      <w:r w:rsidR="00D5719F" w:rsidRPr="0050741C">
        <w:rPr>
          <w:lang w:val="en-US"/>
        </w:rPr>
        <w:t xml:space="preserve"> reflecting scarcity (e.g. land use, resources).</w:t>
      </w:r>
      <w:r w:rsidR="00C41FA6">
        <w:rPr>
          <w:lang w:val="en-US"/>
        </w:rPr>
        <w:t xml:space="preserve"> Averaged values as presented in this paper consequently provide an indication rather than </w:t>
      </w:r>
      <w:r w:rsidR="00B76C76">
        <w:rPr>
          <w:lang w:val="en-US"/>
        </w:rPr>
        <w:t>e</w:t>
      </w:r>
      <w:r w:rsidR="00C41FA6">
        <w:rPr>
          <w:lang w:val="en-US"/>
        </w:rPr>
        <w:t>xact assessmen</w:t>
      </w:r>
      <w:r w:rsidR="00B76C76">
        <w:rPr>
          <w:lang w:val="en-US"/>
        </w:rPr>
        <w:t>ts</w:t>
      </w:r>
      <w:r w:rsidR="00C41FA6">
        <w:rPr>
          <w:lang w:val="en-US"/>
        </w:rPr>
        <w:t>.</w:t>
      </w:r>
    </w:p>
    <w:p w14:paraId="24AC0369" w14:textId="77777777" w:rsidR="0020257B" w:rsidRPr="0050741C" w:rsidRDefault="0020257B" w:rsidP="00901DF3">
      <w:pPr>
        <w:spacing w:line="480" w:lineRule="auto"/>
        <w:jc w:val="both"/>
        <w:rPr>
          <w:lang w:val="en-US"/>
        </w:rPr>
      </w:pPr>
    </w:p>
    <w:p w14:paraId="760B9D05" w14:textId="77777777" w:rsidR="002C0D62" w:rsidRPr="0050741C" w:rsidRDefault="00CE1FBF" w:rsidP="00901DF3">
      <w:pPr>
        <w:spacing w:line="480" w:lineRule="auto"/>
        <w:outlineLvl w:val="0"/>
        <w:rPr>
          <w:b/>
          <w:lang w:val="en-US"/>
        </w:rPr>
      </w:pPr>
      <w:r w:rsidRPr="0050741C">
        <w:rPr>
          <w:b/>
          <w:lang w:val="en-US"/>
        </w:rPr>
        <w:t xml:space="preserve">4. </w:t>
      </w:r>
      <w:r w:rsidR="008808E4" w:rsidRPr="0050741C">
        <w:rPr>
          <w:b/>
          <w:lang w:val="en-US"/>
        </w:rPr>
        <w:t>Parameters for comparative CBA</w:t>
      </w:r>
    </w:p>
    <w:p w14:paraId="3693CCC4" w14:textId="261839E3" w:rsidR="00EC4216" w:rsidRPr="0050741C" w:rsidRDefault="006B32B4" w:rsidP="00901DF3">
      <w:pPr>
        <w:spacing w:line="480" w:lineRule="auto"/>
        <w:jc w:val="both"/>
        <w:rPr>
          <w:lang w:val="en-US"/>
        </w:rPr>
      </w:pPr>
      <w:r w:rsidRPr="0050741C">
        <w:rPr>
          <w:lang w:val="en-US"/>
        </w:rPr>
        <w:t xml:space="preserve">Standard parameters in transport CBAs include travel time, vehicle operating costs, accidents, noise, air pollution, </w:t>
      </w:r>
      <w:r w:rsidR="008362D2">
        <w:rPr>
          <w:lang w:val="en-US"/>
        </w:rPr>
        <w:t>and</w:t>
      </w:r>
      <w:r w:rsidRPr="0050741C">
        <w:rPr>
          <w:lang w:val="en-US"/>
        </w:rPr>
        <w:t xml:space="preserve"> climate change.</w:t>
      </w:r>
      <w:r w:rsidR="009654AC" w:rsidRPr="0050741C">
        <w:rPr>
          <w:lang w:val="en-US"/>
        </w:rPr>
        <w:t xml:space="preserve"> These are</w:t>
      </w:r>
      <w:r w:rsidR="00DA0172" w:rsidRPr="0050741C">
        <w:rPr>
          <w:lang w:val="en-US"/>
        </w:rPr>
        <w:t xml:space="preserve"> commonly</w:t>
      </w:r>
      <w:r w:rsidR="009654AC" w:rsidRPr="0050741C">
        <w:rPr>
          <w:lang w:val="en-US"/>
        </w:rPr>
        <w:t xml:space="preserve"> considered basis requirements for CBA, even though they do not represent </w:t>
      </w:r>
      <w:r w:rsidR="00C84122" w:rsidRPr="0050741C">
        <w:rPr>
          <w:lang w:val="en-US"/>
        </w:rPr>
        <w:t xml:space="preserve">all externalities that </w:t>
      </w:r>
      <w:r w:rsidR="00DA0172" w:rsidRPr="0050741C">
        <w:rPr>
          <w:lang w:val="en-US"/>
        </w:rPr>
        <w:t>constitute</w:t>
      </w:r>
      <w:r w:rsidR="00C84122" w:rsidRPr="0050741C">
        <w:rPr>
          <w:lang w:val="en-US"/>
        </w:rPr>
        <w:t xml:space="preserve"> </w:t>
      </w:r>
      <w:r w:rsidR="008362D2">
        <w:rPr>
          <w:lang w:val="en-US"/>
        </w:rPr>
        <w:t>a</w:t>
      </w:r>
      <w:r w:rsidR="00C84122" w:rsidRPr="0050741C">
        <w:rPr>
          <w:lang w:val="en-US"/>
        </w:rPr>
        <w:t xml:space="preserve"> cost </w:t>
      </w:r>
      <w:r w:rsidR="008362D2">
        <w:rPr>
          <w:lang w:val="en-US"/>
        </w:rPr>
        <w:t xml:space="preserve">or benefit </w:t>
      </w:r>
      <w:r w:rsidR="00C84122" w:rsidRPr="0050741C">
        <w:rPr>
          <w:lang w:val="en-US"/>
        </w:rPr>
        <w:t xml:space="preserve">of transportation. </w:t>
      </w:r>
      <w:r w:rsidR="000B175D" w:rsidRPr="0050741C">
        <w:rPr>
          <w:lang w:val="en-US"/>
        </w:rPr>
        <w:t>W</w:t>
      </w:r>
      <w:r w:rsidR="009654AC" w:rsidRPr="0050741C">
        <w:rPr>
          <w:lang w:val="en-US"/>
        </w:rPr>
        <w:t xml:space="preserve">here CBA compares transport modes, it is </w:t>
      </w:r>
      <w:r w:rsidR="00012B36" w:rsidRPr="0050741C">
        <w:rPr>
          <w:lang w:val="en-US"/>
        </w:rPr>
        <w:t xml:space="preserve">also </w:t>
      </w:r>
      <w:r w:rsidR="0089010C" w:rsidRPr="0050741C">
        <w:rPr>
          <w:lang w:val="en-US"/>
        </w:rPr>
        <w:t xml:space="preserve">important to consider how </w:t>
      </w:r>
      <w:r w:rsidR="00EC4216" w:rsidRPr="0050741C">
        <w:rPr>
          <w:lang w:val="en-US"/>
        </w:rPr>
        <w:t xml:space="preserve">these incur </w:t>
      </w:r>
      <w:r w:rsidR="0080252A" w:rsidRPr="0050741C">
        <w:rPr>
          <w:lang w:val="en-US"/>
        </w:rPr>
        <w:t xml:space="preserve">mutual, interdependent </w:t>
      </w:r>
      <w:r w:rsidR="00EC4216" w:rsidRPr="0050741C">
        <w:rPr>
          <w:lang w:val="en-US"/>
        </w:rPr>
        <w:t>costs</w:t>
      </w:r>
      <w:r w:rsidR="009654AC" w:rsidRPr="0050741C">
        <w:rPr>
          <w:lang w:val="en-US"/>
        </w:rPr>
        <w:t xml:space="preserve">. </w:t>
      </w:r>
      <w:r w:rsidR="00046C3B" w:rsidRPr="0050741C">
        <w:rPr>
          <w:lang w:val="en-US"/>
        </w:rPr>
        <w:t>As an example, cyclists</w:t>
      </w:r>
      <w:r w:rsidR="0080252A" w:rsidRPr="0050741C">
        <w:rPr>
          <w:lang w:val="en-US"/>
        </w:rPr>
        <w:t xml:space="preserve"> or pedestrians</w:t>
      </w:r>
      <w:r w:rsidR="00046C3B" w:rsidRPr="0050741C">
        <w:rPr>
          <w:lang w:val="en-US"/>
        </w:rPr>
        <w:t xml:space="preserve"> are exposed to various </w:t>
      </w:r>
      <w:r w:rsidR="008362D2">
        <w:rPr>
          <w:lang w:val="en-US"/>
        </w:rPr>
        <w:t xml:space="preserve">negative </w:t>
      </w:r>
      <w:r w:rsidR="00046C3B" w:rsidRPr="0050741C">
        <w:rPr>
          <w:lang w:val="en-US"/>
        </w:rPr>
        <w:t xml:space="preserve">externalities created by cars, such as </w:t>
      </w:r>
      <w:r w:rsidR="00857B2A" w:rsidRPr="0050741C">
        <w:rPr>
          <w:lang w:val="en-US"/>
        </w:rPr>
        <w:t xml:space="preserve">collision </w:t>
      </w:r>
      <w:r w:rsidR="00046C3B" w:rsidRPr="0050741C">
        <w:rPr>
          <w:lang w:val="en-US"/>
        </w:rPr>
        <w:t>risks, distress, n</w:t>
      </w:r>
      <w:r w:rsidR="00B37345" w:rsidRPr="0050741C">
        <w:rPr>
          <w:lang w:val="en-US"/>
        </w:rPr>
        <w:t xml:space="preserve">oise, </w:t>
      </w:r>
      <w:r w:rsidR="00B37345" w:rsidRPr="0050741C">
        <w:rPr>
          <w:lang w:val="en-US"/>
        </w:rPr>
        <w:lastRenderedPageBreak/>
        <w:t xml:space="preserve">pollutants, </w:t>
      </w:r>
      <w:r w:rsidR="008362D2">
        <w:rPr>
          <w:lang w:val="en-US"/>
        </w:rPr>
        <w:t>or</w:t>
      </w:r>
      <w:r w:rsidR="0026312E" w:rsidRPr="0050741C">
        <w:rPr>
          <w:lang w:val="en-US"/>
        </w:rPr>
        <w:t xml:space="preserve"> </w:t>
      </w:r>
      <w:r w:rsidR="00B37345" w:rsidRPr="0050741C">
        <w:rPr>
          <w:lang w:val="en-US"/>
        </w:rPr>
        <w:t>smells</w:t>
      </w:r>
      <w:r w:rsidR="00EC4216" w:rsidRPr="0050741C">
        <w:rPr>
          <w:lang w:val="en-US"/>
        </w:rPr>
        <w:t xml:space="preserve">. Cyclists may also face </w:t>
      </w:r>
      <w:r w:rsidR="00322288" w:rsidRPr="0050741C">
        <w:rPr>
          <w:lang w:val="en-US"/>
        </w:rPr>
        <w:t>disadvantages as a</w:t>
      </w:r>
      <w:r w:rsidR="00EC4216" w:rsidRPr="0050741C">
        <w:rPr>
          <w:lang w:val="en-US"/>
        </w:rPr>
        <w:t xml:space="preserve"> result of</w:t>
      </w:r>
      <w:r w:rsidR="00046C3B" w:rsidRPr="0050741C">
        <w:rPr>
          <w:lang w:val="en-US"/>
        </w:rPr>
        <w:t xml:space="preserve"> </w:t>
      </w:r>
      <w:r w:rsidR="0035145A" w:rsidRPr="0050741C">
        <w:rPr>
          <w:lang w:val="en-US"/>
        </w:rPr>
        <w:t xml:space="preserve">public </w:t>
      </w:r>
      <w:r w:rsidR="004070B5" w:rsidRPr="0050741C">
        <w:rPr>
          <w:lang w:val="en-US"/>
        </w:rPr>
        <w:t>space and infrastructure</w:t>
      </w:r>
      <w:r w:rsidR="00EC4216" w:rsidRPr="0050741C">
        <w:rPr>
          <w:lang w:val="en-US"/>
        </w:rPr>
        <w:t xml:space="preserve"> </w:t>
      </w:r>
      <w:r w:rsidR="0035145A" w:rsidRPr="0050741C">
        <w:rPr>
          <w:lang w:val="en-US"/>
        </w:rPr>
        <w:t xml:space="preserve">predominantly </w:t>
      </w:r>
      <w:r w:rsidR="00EC4216" w:rsidRPr="0050741C">
        <w:rPr>
          <w:lang w:val="en-US"/>
        </w:rPr>
        <w:t>assigned to cars</w:t>
      </w:r>
      <w:r w:rsidR="004070B5" w:rsidRPr="0050741C">
        <w:rPr>
          <w:lang w:val="en-US"/>
        </w:rPr>
        <w:t xml:space="preserve">, </w:t>
      </w:r>
      <w:r w:rsidR="00EC4216" w:rsidRPr="0050741C">
        <w:rPr>
          <w:lang w:val="en-US"/>
        </w:rPr>
        <w:t>or prioritization</w:t>
      </w:r>
      <w:r w:rsidR="004070B5" w:rsidRPr="0050741C">
        <w:rPr>
          <w:lang w:val="en-US"/>
        </w:rPr>
        <w:t xml:space="preserve"> </w:t>
      </w:r>
      <w:r w:rsidR="0035145A" w:rsidRPr="0050741C">
        <w:rPr>
          <w:lang w:val="en-US"/>
        </w:rPr>
        <w:t xml:space="preserve">of vehicles </w:t>
      </w:r>
      <w:r w:rsidR="004070B5" w:rsidRPr="0050741C">
        <w:rPr>
          <w:lang w:val="en-US"/>
        </w:rPr>
        <w:t>in traffic</w:t>
      </w:r>
      <w:r w:rsidR="00322288" w:rsidRPr="0050741C">
        <w:rPr>
          <w:lang w:val="en-US"/>
        </w:rPr>
        <w:t xml:space="preserve"> </w:t>
      </w:r>
      <w:r w:rsidR="008362D2">
        <w:rPr>
          <w:lang w:val="en-US"/>
        </w:rPr>
        <w:t xml:space="preserve">(e.g. </w:t>
      </w:r>
      <w:r w:rsidR="00EC4216" w:rsidRPr="0050741C">
        <w:rPr>
          <w:lang w:val="en-US"/>
        </w:rPr>
        <w:t>red</w:t>
      </w:r>
      <w:r w:rsidR="008362D2">
        <w:rPr>
          <w:lang w:val="en-US"/>
        </w:rPr>
        <w:t>-</w:t>
      </w:r>
      <w:r w:rsidR="00EC4216" w:rsidRPr="0050741C">
        <w:rPr>
          <w:lang w:val="en-US"/>
        </w:rPr>
        <w:t>light waiting times</w:t>
      </w:r>
      <w:r w:rsidR="008362D2">
        <w:rPr>
          <w:lang w:val="en-US"/>
        </w:rPr>
        <w:t>)</w:t>
      </w:r>
      <w:r w:rsidR="00570DD5" w:rsidRPr="0050741C">
        <w:rPr>
          <w:lang w:val="en-US"/>
        </w:rPr>
        <w:t>.</w:t>
      </w:r>
      <w:r w:rsidR="00EC4216" w:rsidRPr="0050741C">
        <w:rPr>
          <w:lang w:val="en-US"/>
        </w:rPr>
        <w:t xml:space="preserve"> </w:t>
      </w:r>
      <w:r w:rsidR="0035145A" w:rsidRPr="0050741C">
        <w:rPr>
          <w:lang w:val="en-US"/>
        </w:rPr>
        <w:t>Where</w:t>
      </w:r>
      <w:r w:rsidR="00322288" w:rsidRPr="0050741C">
        <w:rPr>
          <w:lang w:val="en-US"/>
        </w:rPr>
        <w:t xml:space="preserve"> cars clog</w:t>
      </w:r>
      <w:r w:rsidR="00EC4216" w:rsidRPr="0050741C">
        <w:rPr>
          <w:lang w:val="en-US"/>
        </w:rPr>
        <w:t xml:space="preserve"> roads</w:t>
      </w:r>
      <w:r w:rsidR="0035145A" w:rsidRPr="0050741C">
        <w:rPr>
          <w:lang w:val="en-US"/>
        </w:rPr>
        <w:t>, this may slow down cyclists</w:t>
      </w:r>
      <w:r w:rsidR="002D5A64" w:rsidRPr="0050741C">
        <w:rPr>
          <w:lang w:val="en-US"/>
        </w:rPr>
        <w:t xml:space="preserve">. </w:t>
      </w:r>
      <w:r w:rsidR="00C063B3" w:rsidRPr="0050741C">
        <w:rPr>
          <w:lang w:val="en-US"/>
        </w:rPr>
        <w:t xml:space="preserve">Pedestrians </w:t>
      </w:r>
      <w:r w:rsidR="002D5A64" w:rsidRPr="0050741C">
        <w:rPr>
          <w:lang w:val="en-US"/>
        </w:rPr>
        <w:t>will generally use</w:t>
      </w:r>
      <w:r w:rsidR="00C063B3" w:rsidRPr="0050741C">
        <w:rPr>
          <w:lang w:val="en-US"/>
        </w:rPr>
        <w:t xml:space="preserve"> separated infrastructure, but they may also </w:t>
      </w:r>
      <w:r w:rsidR="008362D2">
        <w:rPr>
          <w:lang w:val="en-US"/>
        </w:rPr>
        <w:t>face</w:t>
      </w:r>
      <w:r w:rsidR="002D5A64" w:rsidRPr="0050741C">
        <w:rPr>
          <w:lang w:val="en-US"/>
        </w:rPr>
        <w:t xml:space="preserve"> disadvantage</w:t>
      </w:r>
      <w:r w:rsidR="008362D2">
        <w:rPr>
          <w:lang w:val="en-US"/>
        </w:rPr>
        <w:t>s</w:t>
      </w:r>
      <w:r w:rsidR="002D5A64" w:rsidRPr="0050741C">
        <w:rPr>
          <w:lang w:val="en-US"/>
        </w:rPr>
        <w:t xml:space="preserve">, as </w:t>
      </w:r>
      <w:r w:rsidR="008362D2">
        <w:rPr>
          <w:lang w:val="en-US"/>
        </w:rPr>
        <w:t>traffic systems are designed to</w:t>
      </w:r>
      <w:r w:rsidR="00C063B3" w:rsidRPr="0050741C">
        <w:rPr>
          <w:lang w:val="en-US"/>
        </w:rPr>
        <w:t xml:space="preserve"> </w:t>
      </w:r>
      <w:r w:rsidR="008362D2">
        <w:rPr>
          <w:lang w:val="en-US"/>
        </w:rPr>
        <w:t>maximize</w:t>
      </w:r>
      <w:r w:rsidR="00C063B3" w:rsidRPr="0050741C">
        <w:rPr>
          <w:lang w:val="en-US"/>
        </w:rPr>
        <w:t xml:space="preserve"> vehicle flows.</w:t>
      </w:r>
    </w:p>
    <w:p w14:paraId="5F235018" w14:textId="77777777" w:rsidR="00CA1470" w:rsidRPr="0050741C" w:rsidRDefault="00CA1470" w:rsidP="00901DF3">
      <w:pPr>
        <w:spacing w:line="480" w:lineRule="auto"/>
        <w:jc w:val="both"/>
        <w:rPr>
          <w:lang w:val="en-US"/>
        </w:rPr>
      </w:pPr>
    </w:p>
    <w:p w14:paraId="68C4A134" w14:textId="229130A6" w:rsidR="00BF5BDC" w:rsidRPr="0050741C" w:rsidRDefault="00EC4216" w:rsidP="00901DF3">
      <w:pPr>
        <w:spacing w:line="480" w:lineRule="auto"/>
        <w:jc w:val="both"/>
        <w:rPr>
          <w:lang w:val="en-US"/>
        </w:rPr>
      </w:pPr>
      <w:r w:rsidRPr="0050741C">
        <w:rPr>
          <w:lang w:val="en-US"/>
        </w:rPr>
        <w:t>Table 1 compares the parameters included in</w:t>
      </w:r>
      <w:r w:rsidR="00CA1470" w:rsidRPr="0050741C">
        <w:rPr>
          <w:lang w:val="en-US"/>
        </w:rPr>
        <w:t xml:space="preserve"> </w:t>
      </w:r>
      <w:r w:rsidR="00664D7A" w:rsidRPr="0050741C">
        <w:rPr>
          <w:lang w:val="en-US"/>
        </w:rPr>
        <w:t xml:space="preserve">the </w:t>
      </w:r>
      <w:r w:rsidR="008E2834" w:rsidRPr="0050741C">
        <w:rPr>
          <w:lang w:val="en-US"/>
        </w:rPr>
        <w:t>four</w:t>
      </w:r>
      <w:r w:rsidR="00C105A3" w:rsidRPr="0050741C">
        <w:rPr>
          <w:lang w:val="en-US"/>
        </w:rPr>
        <w:t xml:space="preserve"> diff</w:t>
      </w:r>
      <w:r w:rsidR="00065AD6" w:rsidRPr="0050741C">
        <w:rPr>
          <w:lang w:val="en-US"/>
        </w:rPr>
        <w:t>erent CBA assessment frameworks</w:t>
      </w:r>
      <w:r w:rsidR="004C7D3E" w:rsidRPr="0050741C">
        <w:rPr>
          <w:lang w:val="en-US"/>
        </w:rPr>
        <w:t xml:space="preserve"> (COWI </w:t>
      </w:r>
      <w:r w:rsidR="008362D2">
        <w:rPr>
          <w:lang w:val="en-US"/>
        </w:rPr>
        <w:t>&amp;</w:t>
      </w:r>
      <w:r w:rsidR="004C7D3E" w:rsidRPr="0050741C">
        <w:rPr>
          <w:lang w:val="en-US"/>
        </w:rPr>
        <w:t xml:space="preserve"> City </w:t>
      </w:r>
      <w:r w:rsidR="003F00F8" w:rsidRPr="0050741C">
        <w:rPr>
          <w:lang w:val="en-US"/>
        </w:rPr>
        <w:t>of Copenhagen 2009; EC 2014; ECF</w:t>
      </w:r>
      <w:r w:rsidR="004C7D3E" w:rsidRPr="0050741C">
        <w:rPr>
          <w:lang w:val="en-US"/>
        </w:rPr>
        <w:t xml:space="preserve"> 2016; </w:t>
      </w:r>
      <w:r w:rsidR="00841824">
        <w:rPr>
          <w:lang w:val="en-US"/>
        </w:rPr>
        <w:t xml:space="preserve">Litman </w:t>
      </w:r>
      <w:r w:rsidR="008362D2">
        <w:rPr>
          <w:lang w:val="en-US"/>
        </w:rPr>
        <w:t xml:space="preserve">&amp; </w:t>
      </w:r>
      <w:r w:rsidR="00841824">
        <w:rPr>
          <w:lang w:val="en-US"/>
        </w:rPr>
        <w:t>Doherty</w:t>
      </w:r>
      <w:r w:rsidR="004C7D3E" w:rsidRPr="0050741C">
        <w:rPr>
          <w:lang w:val="en-US"/>
        </w:rPr>
        <w:t xml:space="preserve"> 201</w:t>
      </w:r>
      <w:r w:rsidR="00841824">
        <w:rPr>
          <w:lang w:val="en-US"/>
        </w:rPr>
        <w:t>1</w:t>
      </w:r>
      <w:r w:rsidR="004C7D3E" w:rsidRPr="0050741C">
        <w:rPr>
          <w:lang w:val="en-US"/>
        </w:rPr>
        <w:t>)</w:t>
      </w:r>
      <w:r w:rsidR="00065AD6" w:rsidRPr="0050741C">
        <w:rPr>
          <w:lang w:val="en-US"/>
        </w:rPr>
        <w:t xml:space="preserve">, </w:t>
      </w:r>
      <w:r w:rsidR="0032303C" w:rsidRPr="0050741C">
        <w:rPr>
          <w:lang w:val="en-US"/>
        </w:rPr>
        <w:t>ranging from</w:t>
      </w:r>
      <w:r w:rsidRPr="0050741C">
        <w:rPr>
          <w:lang w:val="en-US"/>
        </w:rPr>
        <w:t xml:space="preserve"> si</w:t>
      </w:r>
      <w:r w:rsidR="003F00F8" w:rsidRPr="0050741C">
        <w:rPr>
          <w:lang w:val="en-US"/>
        </w:rPr>
        <w:t>x (EC 2014) to 44 parameters (E</w:t>
      </w:r>
      <w:r w:rsidRPr="0050741C">
        <w:rPr>
          <w:lang w:val="en-US"/>
        </w:rPr>
        <w:t>C</w:t>
      </w:r>
      <w:r w:rsidR="003F00F8" w:rsidRPr="0050741C">
        <w:rPr>
          <w:lang w:val="en-US"/>
        </w:rPr>
        <w:t>F</w:t>
      </w:r>
      <w:r w:rsidRPr="0050741C">
        <w:rPr>
          <w:lang w:val="en-US"/>
        </w:rPr>
        <w:t xml:space="preserve"> 2016). </w:t>
      </w:r>
      <w:r w:rsidR="003F00F8" w:rsidRPr="0050741C">
        <w:rPr>
          <w:lang w:val="en-US"/>
        </w:rPr>
        <w:t>ECF</w:t>
      </w:r>
      <w:r w:rsidR="00927692" w:rsidRPr="0050741C">
        <w:rPr>
          <w:lang w:val="en-US"/>
        </w:rPr>
        <w:t xml:space="preserve"> (2016) calculates the cost of cars as a benefit associated with the bicycle (</w:t>
      </w:r>
      <w:r w:rsidR="00FA7BD2" w:rsidRPr="0050741C">
        <w:rPr>
          <w:lang w:val="en-US"/>
        </w:rPr>
        <w:t xml:space="preserve">i.e., as </w:t>
      </w:r>
      <w:r w:rsidR="00CD7E6B" w:rsidRPr="0050741C">
        <w:rPr>
          <w:lang w:val="en-US"/>
        </w:rPr>
        <w:t xml:space="preserve">‘avoided costs’), </w:t>
      </w:r>
      <w:r w:rsidR="00D7374E" w:rsidRPr="0050741C">
        <w:rPr>
          <w:lang w:val="en-US"/>
        </w:rPr>
        <w:t>in what</w:t>
      </w:r>
      <w:r w:rsidR="00CD7E6B" w:rsidRPr="0050741C">
        <w:rPr>
          <w:lang w:val="en-US"/>
        </w:rPr>
        <w:t xml:space="preserve"> </w:t>
      </w:r>
      <w:r w:rsidR="00D7374E" w:rsidRPr="0050741C">
        <w:rPr>
          <w:lang w:val="en-US"/>
        </w:rPr>
        <w:t xml:space="preserve">is </w:t>
      </w:r>
      <w:r w:rsidR="00BA7D5D" w:rsidRPr="0050741C">
        <w:rPr>
          <w:lang w:val="en-US"/>
        </w:rPr>
        <w:t xml:space="preserve">essentially </w:t>
      </w:r>
      <w:r w:rsidR="00B00711" w:rsidRPr="0050741C">
        <w:rPr>
          <w:lang w:val="en-US"/>
        </w:rPr>
        <w:t xml:space="preserve">an assessment </w:t>
      </w:r>
      <w:r w:rsidR="00181C7C" w:rsidRPr="0050741C">
        <w:rPr>
          <w:lang w:val="en-US"/>
        </w:rPr>
        <w:t xml:space="preserve">of the </w:t>
      </w:r>
      <w:r w:rsidR="00125C7D" w:rsidRPr="0050741C">
        <w:rPr>
          <w:lang w:val="en-US"/>
        </w:rPr>
        <w:t>total economic</w:t>
      </w:r>
      <w:r w:rsidR="00BA7D5D" w:rsidRPr="0050741C">
        <w:rPr>
          <w:lang w:val="en-US"/>
        </w:rPr>
        <w:t xml:space="preserve"> value of cycling </w:t>
      </w:r>
      <w:r w:rsidR="00F16ADD" w:rsidRPr="0050741C">
        <w:rPr>
          <w:lang w:val="en-US"/>
        </w:rPr>
        <w:t>in</w:t>
      </w:r>
      <w:r w:rsidR="00BA7D5D" w:rsidRPr="0050741C">
        <w:rPr>
          <w:lang w:val="en-US"/>
        </w:rPr>
        <w:t xml:space="preserve"> the European Union.</w:t>
      </w:r>
      <w:r w:rsidR="00927692" w:rsidRPr="0050741C">
        <w:rPr>
          <w:lang w:val="en-US"/>
        </w:rPr>
        <w:t xml:space="preserve"> </w:t>
      </w:r>
      <w:r w:rsidR="00FA7BD2" w:rsidRPr="0050741C">
        <w:rPr>
          <w:lang w:val="en-US"/>
        </w:rPr>
        <w:t>Hence, n</w:t>
      </w:r>
      <w:r w:rsidR="002355FE" w:rsidRPr="0050741C">
        <w:rPr>
          <w:lang w:val="en-US"/>
        </w:rPr>
        <w:t>ot</w:t>
      </w:r>
      <w:r w:rsidR="00927692" w:rsidRPr="0050741C">
        <w:rPr>
          <w:lang w:val="en-US"/>
        </w:rPr>
        <w:t xml:space="preserve"> all pa</w:t>
      </w:r>
      <w:r w:rsidR="00D7374E" w:rsidRPr="0050741C">
        <w:rPr>
          <w:lang w:val="en-US"/>
        </w:rPr>
        <w:t xml:space="preserve">rameters of the ECF approach </w:t>
      </w:r>
      <w:r w:rsidR="00FA7BD2" w:rsidRPr="0050741C">
        <w:rPr>
          <w:lang w:val="en-US"/>
        </w:rPr>
        <w:t>are equally valid for inclusion in comparative CBA</w:t>
      </w:r>
      <w:r w:rsidR="00BF5BDC" w:rsidRPr="0050741C">
        <w:rPr>
          <w:lang w:val="en-US"/>
        </w:rPr>
        <w:t>:</w:t>
      </w:r>
    </w:p>
    <w:p w14:paraId="5A6924BA" w14:textId="77777777" w:rsidR="00BF5BDC" w:rsidRPr="0050741C" w:rsidRDefault="00BF5BDC" w:rsidP="00901DF3">
      <w:pPr>
        <w:spacing w:line="480" w:lineRule="auto"/>
        <w:jc w:val="both"/>
        <w:rPr>
          <w:lang w:val="en-US"/>
        </w:rPr>
      </w:pPr>
    </w:p>
    <w:p w14:paraId="0EB2CF70" w14:textId="77777777" w:rsidR="00BF5BDC" w:rsidRPr="00BF5BDC" w:rsidRDefault="0026312E" w:rsidP="00901DF3">
      <w:pPr>
        <w:pStyle w:val="Lijstalinea"/>
        <w:numPr>
          <w:ilvl w:val="0"/>
          <w:numId w:val="15"/>
        </w:numPr>
        <w:spacing w:line="480" w:lineRule="auto"/>
        <w:jc w:val="both"/>
        <w:rPr>
          <w:rFonts w:ascii="Times New Roman" w:hAnsi="Times New Roman" w:cs="Times New Roman"/>
        </w:rPr>
      </w:pPr>
      <w:r>
        <w:rPr>
          <w:rFonts w:ascii="Times New Roman" w:hAnsi="Times New Roman" w:cs="Times New Roman"/>
        </w:rPr>
        <w:t>They r</w:t>
      </w:r>
      <w:r w:rsidR="00BF5BDC" w:rsidRPr="00BF5BDC">
        <w:rPr>
          <w:rFonts w:ascii="Times New Roman" w:hAnsi="Times New Roman" w:cs="Times New Roman"/>
        </w:rPr>
        <w:t>epresent</w:t>
      </w:r>
      <w:r w:rsidR="00A763C2" w:rsidRPr="00BF5BDC">
        <w:rPr>
          <w:rFonts w:ascii="Times New Roman" w:hAnsi="Times New Roman" w:cs="Times New Roman"/>
        </w:rPr>
        <w:t xml:space="preserve"> double-counting (</w:t>
      </w:r>
      <w:r w:rsidR="00927692" w:rsidRPr="00BF5BDC">
        <w:rPr>
          <w:rFonts w:ascii="Times New Roman" w:hAnsi="Times New Roman" w:cs="Times New Roman"/>
        </w:rPr>
        <w:t xml:space="preserve">‘climate change costs’ </w:t>
      </w:r>
      <w:r w:rsidR="00927692" w:rsidRPr="00BF5BDC">
        <w:rPr>
          <w:rFonts w:ascii="Times New Roman" w:hAnsi="Times New Roman" w:cs="Times New Roman"/>
          <w:i/>
        </w:rPr>
        <w:t>vis-á-vis</w:t>
      </w:r>
      <w:r w:rsidR="00927692" w:rsidRPr="00BF5BDC">
        <w:rPr>
          <w:rFonts w:ascii="Times New Roman" w:hAnsi="Times New Roman" w:cs="Times New Roman"/>
        </w:rPr>
        <w:t xml:space="preserve"> ‘related benefits of reduced CO</w:t>
      </w:r>
      <w:r w:rsidR="00927692" w:rsidRPr="00BF5BDC">
        <w:rPr>
          <w:rFonts w:ascii="Times New Roman" w:hAnsi="Times New Roman" w:cs="Times New Roman"/>
          <w:vertAlign w:val="subscript"/>
        </w:rPr>
        <w:t>2</w:t>
      </w:r>
      <w:r w:rsidR="00927692" w:rsidRPr="00BF5BDC">
        <w:rPr>
          <w:rFonts w:ascii="Times New Roman" w:hAnsi="Times New Roman" w:cs="Times New Roman"/>
        </w:rPr>
        <w:t xml:space="preserve"> emissions’; ‘urban design’ </w:t>
      </w:r>
      <w:r w:rsidR="00927692" w:rsidRPr="00BF5BDC">
        <w:rPr>
          <w:rFonts w:ascii="Times New Roman" w:hAnsi="Times New Roman" w:cs="Times New Roman"/>
          <w:i/>
        </w:rPr>
        <w:t>vis-á-vis</w:t>
      </w:r>
      <w:r w:rsidR="00927692" w:rsidRPr="00BF5BDC">
        <w:rPr>
          <w:rFonts w:ascii="Times New Roman" w:hAnsi="Times New Roman" w:cs="Times New Roman"/>
        </w:rPr>
        <w:t xml:space="preserve"> ‘quality of public space’); </w:t>
      </w:r>
    </w:p>
    <w:p w14:paraId="7CCCA352" w14:textId="084591AD" w:rsidR="00BF5BDC" w:rsidRPr="00BF5BDC" w:rsidRDefault="0026312E" w:rsidP="00901DF3">
      <w:pPr>
        <w:pStyle w:val="Lijstalinea"/>
        <w:numPr>
          <w:ilvl w:val="0"/>
          <w:numId w:val="15"/>
        </w:numPr>
        <w:spacing w:line="480" w:lineRule="auto"/>
        <w:jc w:val="both"/>
        <w:rPr>
          <w:rFonts w:ascii="Times New Roman" w:hAnsi="Times New Roman" w:cs="Times New Roman"/>
        </w:rPr>
      </w:pPr>
      <w:r>
        <w:rPr>
          <w:rFonts w:ascii="Times New Roman" w:hAnsi="Times New Roman" w:cs="Times New Roman"/>
        </w:rPr>
        <w:t xml:space="preserve">They </w:t>
      </w:r>
      <w:r w:rsidR="00857B2A">
        <w:rPr>
          <w:rFonts w:ascii="Times New Roman" w:hAnsi="Times New Roman" w:cs="Times New Roman"/>
        </w:rPr>
        <w:t>are not focused on externalities</w:t>
      </w:r>
      <w:r w:rsidR="004142E8" w:rsidRPr="00BF5BDC">
        <w:rPr>
          <w:rFonts w:ascii="Times New Roman" w:hAnsi="Times New Roman" w:cs="Times New Roman"/>
        </w:rPr>
        <w:t xml:space="preserve"> (</w:t>
      </w:r>
      <w:r w:rsidR="00857B2A">
        <w:rPr>
          <w:rFonts w:ascii="Times New Roman" w:hAnsi="Times New Roman" w:cs="Times New Roman"/>
        </w:rPr>
        <w:t xml:space="preserve">i.e., </w:t>
      </w:r>
      <w:r w:rsidR="00927692" w:rsidRPr="00BF5BDC">
        <w:rPr>
          <w:rFonts w:ascii="Times New Roman" w:hAnsi="Times New Roman" w:cs="Times New Roman"/>
        </w:rPr>
        <w:t xml:space="preserve">‘economic contribution of bicycle manufacturing’, ‘sales and repairs’, ‘shopping’, ‘bicycle tourism’ or </w:t>
      </w:r>
      <w:r w:rsidR="00B33E0E">
        <w:rPr>
          <w:rFonts w:ascii="Times New Roman" w:hAnsi="Times New Roman" w:cs="Times New Roman"/>
        </w:rPr>
        <w:t>‘</w:t>
      </w:r>
      <w:r w:rsidR="00927692" w:rsidRPr="00BF5BDC">
        <w:rPr>
          <w:rFonts w:ascii="Times New Roman" w:hAnsi="Times New Roman" w:cs="Times New Roman"/>
        </w:rPr>
        <w:t>induced</w:t>
      </w:r>
      <w:r w:rsidR="00B33E0E">
        <w:rPr>
          <w:rFonts w:ascii="Times New Roman" w:hAnsi="Times New Roman" w:cs="Times New Roman"/>
        </w:rPr>
        <w:t>’</w:t>
      </w:r>
      <w:r w:rsidR="00927692" w:rsidRPr="00BF5BDC">
        <w:rPr>
          <w:rFonts w:ascii="Times New Roman" w:hAnsi="Times New Roman" w:cs="Times New Roman"/>
        </w:rPr>
        <w:t xml:space="preserve"> effects in associated economic sectors)</w:t>
      </w:r>
      <w:r w:rsidR="00A763C2" w:rsidRPr="00BF5BDC">
        <w:rPr>
          <w:rFonts w:ascii="Times New Roman" w:hAnsi="Times New Roman" w:cs="Times New Roman"/>
        </w:rPr>
        <w:t xml:space="preserve">; </w:t>
      </w:r>
    </w:p>
    <w:p w14:paraId="51A2845D" w14:textId="77777777" w:rsidR="00BF5BDC" w:rsidRPr="00BF5BDC" w:rsidRDefault="00836EAB" w:rsidP="00901DF3">
      <w:pPr>
        <w:pStyle w:val="Lijstalinea"/>
        <w:numPr>
          <w:ilvl w:val="0"/>
          <w:numId w:val="15"/>
        </w:numPr>
        <w:spacing w:line="480" w:lineRule="auto"/>
        <w:jc w:val="both"/>
        <w:rPr>
          <w:rFonts w:ascii="Times New Roman" w:hAnsi="Times New Roman" w:cs="Times New Roman"/>
        </w:rPr>
      </w:pPr>
      <w:r>
        <w:rPr>
          <w:rFonts w:ascii="Times New Roman" w:hAnsi="Times New Roman" w:cs="Times New Roman"/>
        </w:rPr>
        <w:t>They include</w:t>
      </w:r>
      <w:r w:rsidR="002355FE" w:rsidRPr="00BF5BDC">
        <w:rPr>
          <w:rFonts w:ascii="Times New Roman" w:hAnsi="Times New Roman" w:cs="Times New Roman"/>
        </w:rPr>
        <w:t xml:space="preserve"> subjective</w:t>
      </w:r>
      <w:r w:rsidR="00927692" w:rsidRPr="00BF5BDC">
        <w:rPr>
          <w:rFonts w:ascii="Times New Roman" w:hAnsi="Times New Roman" w:cs="Times New Roman"/>
        </w:rPr>
        <w:t xml:space="preserve"> costs/benefits</w:t>
      </w:r>
      <w:r w:rsidR="002355FE" w:rsidRPr="00BF5BDC">
        <w:rPr>
          <w:rFonts w:ascii="Times New Roman" w:hAnsi="Times New Roman" w:cs="Times New Roman"/>
        </w:rPr>
        <w:t xml:space="preserve"> assessments</w:t>
      </w:r>
      <w:r w:rsidR="00857B2A">
        <w:rPr>
          <w:rFonts w:ascii="Times New Roman" w:hAnsi="Times New Roman" w:cs="Times New Roman"/>
        </w:rPr>
        <w:t xml:space="preserve"> on which views may vary</w:t>
      </w:r>
      <w:r w:rsidR="00927692" w:rsidRPr="00BF5BDC">
        <w:rPr>
          <w:rFonts w:ascii="Times New Roman" w:hAnsi="Times New Roman" w:cs="Times New Roman"/>
        </w:rPr>
        <w:t xml:space="preserve"> (</w:t>
      </w:r>
      <w:r w:rsidR="00857B2A">
        <w:rPr>
          <w:rFonts w:ascii="Times New Roman" w:hAnsi="Times New Roman" w:cs="Times New Roman"/>
        </w:rPr>
        <w:t xml:space="preserve">i.e., </w:t>
      </w:r>
      <w:r w:rsidR="00927692" w:rsidRPr="00BF5BDC">
        <w:rPr>
          <w:rFonts w:ascii="Times New Roman" w:hAnsi="Times New Roman" w:cs="Times New Roman"/>
        </w:rPr>
        <w:t>‘quality of time when cycling’, ‘social and gender equality’, ‘child welfare’, ‘social safety’, ‘resilience and robustness’, ‘connectivity’, ‘accessibility’).</w:t>
      </w:r>
      <w:r w:rsidR="00E51934" w:rsidRPr="00BF5BDC">
        <w:rPr>
          <w:rFonts w:ascii="Times New Roman" w:hAnsi="Times New Roman" w:cs="Times New Roman"/>
        </w:rPr>
        <w:t xml:space="preserve"> </w:t>
      </w:r>
    </w:p>
    <w:p w14:paraId="62BCBC20" w14:textId="77777777" w:rsidR="00BF5BDC" w:rsidRPr="0050741C" w:rsidRDefault="00BF5BDC" w:rsidP="00901DF3">
      <w:pPr>
        <w:spacing w:line="480" w:lineRule="auto"/>
        <w:jc w:val="both"/>
        <w:rPr>
          <w:lang w:val="en-US"/>
        </w:rPr>
      </w:pPr>
    </w:p>
    <w:p w14:paraId="7D89F761" w14:textId="2ABE9154" w:rsidR="00927692" w:rsidRPr="0050741C" w:rsidRDefault="00E51934" w:rsidP="00901DF3">
      <w:pPr>
        <w:spacing w:line="480" w:lineRule="auto"/>
        <w:jc w:val="both"/>
        <w:rPr>
          <w:lang w:val="en-US"/>
        </w:rPr>
      </w:pPr>
      <w:r w:rsidRPr="0050741C">
        <w:rPr>
          <w:lang w:val="en-US"/>
        </w:rPr>
        <w:t>In excluding these aspects, the analysis of the three CBA framew</w:t>
      </w:r>
      <w:r w:rsidR="00125C7D" w:rsidRPr="0050741C">
        <w:rPr>
          <w:lang w:val="en-US"/>
        </w:rPr>
        <w:t>orks yields</w:t>
      </w:r>
      <w:r w:rsidRPr="0050741C">
        <w:rPr>
          <w:lang w:val="en-US"/>
        </w:rPr>
        <w:t xml:space="preserve"> a</w:t>
      </w:r>
      <w:r w:rsidR="00A763C2" w:rsidRPr="0050741C">
        <w:rPr>
          <w:lang w:val="en-US"/>
        </w:rPr>
        <w:t xml:space="preserve"> total of </w:t>
      </w:r>
      <w:r w:rsidR="004C7D3E" w:rsidRPr="0050741C">
        <w:rPr>
          <w:lang w:val="en-US"/>
        </w:rPr>
        <w:t>1</w:t>
      </w:r>
      <w:r w:rsidR="00D352BD" w:rsidRPr="0050741C">
        <w:rPr>
          <w:lang w:val="en-US"/>
        </w:rPr>
        <w:t xml:space="preserve">4 </w:t>
      </w:r>
      <w:r w:rsidR="002355FE" w:rsidRPr="0050741C">
        <w:rPr>
          <w:lang w:val="en-US"/>
        </w:rPr>
        <w:t xml:space="preserve">parameters </w:t>
      </w:r>
      <w:r w:rsidR="00B33E0E">
        <w:rPr>
          <w:lang w:val="en-US"/>
        </w:rPr>
        <w:t>that should be part of any</w:t>
      </w:r>
      <w:r w:rsidR="002355FE" w:rsidRPr="0050741C">
        <w:rPr>
          <w:lang w:val="en-US"/>
        </w:rPr>
        <w:t xml:space="preserve"> </w:t>
      </w:r>
      <w:r w:rsidR="00125C7D" w:rsidRPr="0050741C">
        <w:rPr>
          <w:lang w:val="en-US"/>
        </w:rPr>
        <w:t xml:space="preserve">comprehensive, </w:t>
      </w:r>
      <w:r w:rsidR="002355FE" w:rsidRPr="0050741C">
        <w:rPr>
          <w:lang w:val="en-US"/>
        </w:rPr>
        <w:t>comparative transport CBA</w:t>
      </w:r>
      <w:r w:rsidR="00B33E0E">
        <w:rPr>
          <w:lang w:val="en-US"/>
        </w:rPr>
        <w:t xml:space="preserve">. These are listed in </w:t>
      </w:r>
      <w:r w:rsidRPr="0050741C">
        <w:rPr>
          <w:lang w:val="en-US"/>
        </w:rPr>
        <w:t>Table 1</w:t>
      </w:r>
      <w:r w:rsidR="00B33E0E">
        <w:rPr>
          <w:lang w:val="en-US"/>
        </w:rPr>
        <w:t>, where</w:t>
      </w:r>
      <w:r w:rsidR="00A763C2" w:rsidRPr="0050741C">
        <w:rPr>
          <w:lang w:val="en-US"/>
        </w:rPr>
        <w:t xml:space="preserve"> ‘h</w:t>
      </w:r>
      <w:r w:rsidR="00927692" w:rsidRPr="0050741C">
        <w:rPr>
          <w:lang w:val="en-US"/>
        </w:rPr>
        <w:t>ealth benefits</w:t>
      </w:r>
      <w:r w:rsidR="00A763C2" w:rsidRPr="0050741C">
        <w:rPr>
          <w:lang w:val="en-US"/>
        </w:rPr>
        <w:t xml:space="preserve">’ </w:t>
      </w:r>
      <w:r w:rsidR="00B33E0E">
        <w:rPr>
          <w:lang w:val="en-US"/>
        </w:rPr>
        <w:t>summarize</w:t>
      </w:r>
      <w:r w:rsidRPr="0050741C">
        <w:rPr>
          <w:lang w:val="en-US"/>
        </w:rPr>
        <w:t xml:space="preserve"> </w:t>
      </w:r>
      <w:r w:rsidR="00927692" w:rsidRPr="0050741C">
        <w:rPr>
          <w:lang w:val="en-US"/>
        </w:rPr>
        <w:t xml:space="preserve">‘healthier lives’, ‘mental health benefits’, </w:t>
      </w:r>
      <w:r w:rsidR="00927692" w:rsidRPr="0050741C">
        <w:rPr>
          <w:lang w:val="en-US"/>
        </w:rPr>
        <w:lastRenderedPageBreak/>
        <w:t>‘health benefits for children’, ‘</w:t>
      </w:r>
      <w:r w:rsidR="002355FE" w:rsidRPr="0050741C">
        <w:rPr>
          <w:lang w:val="en-US"/>
        </w:rPr>
        <w:t>reduction</w:t>
      </w:r>
      <w:r w:rsidR="00A763C2" w:rsidRPr="0050741C">
        <w:rPr>
          <w:lang w:val="en-US"/>
        </w:rPr>
        <w:t xml:space="preserve">s in sick-leave’, </w:t>
      </w:r>
      <w:r w:rsidR="00B33E0E">
        <w:rPr>
          <w:lang w:val="en-US"/>
        </w:rPr>
        <w:t>‘</w:t>
      </w:r>
      <w:r w:rsidR="005656DA" w:rsidRPr="0050741C">
        <w:rPr>
          <w:lang w:val="en-US"/>
        </w:rPr>
        <w:t>productivity gains’ and ‘prolonged lives’</w:t>
      </w:r>
      <w:r w:rsidR="00B33E0E">
        <w:rPr>
          <w:lang w:val="en-US"/>
        </w:rPr>
        <w:t xml:space="preserve"> (</w:t>
      </w:r>
      <w:r w:rsidR="005656DA" w:rsidRPr="0050741C">
        <w:rPr>
          <w:lang w:val="en-US"/>
        </w:rPr>
        <w:t xml:space="preserve">COWI </w:t>
      </w:r>
      <w:r w:rsidR="00B33E0E">
        <w:rPr>
          <w:lang w:val="en-US"/>
        </w:rPr>
        <w:t>&amp;</w:t>
      </w:r>
      <w:r w:rsidR="005656DA" w:rsidRPr="0050741C">
        <w:rPr>
          <w:lang w:val="en-US"/>
        </w:rPr>
        <w:t xml:space="preserve"> City of Copenhagen 2009</w:t>
      </w:r>
      <w:r w:rsidR="00B33E0E">
        <w:rPr>
          <w:lang w:val="en-US"/>
        </w:rPr>
        <w:t>;</w:t>
      </w:r>
      <w:r w:rsidR="003F00F8" w:rsidRPr="0050741C">
        <w:rPr>
          <w:lang w:val="en-US"/>
        </w:rPr>
        <w:t xml:space="preserve"> ECF</w:t>
      </w:r>
      <w:r w:rsidRPr="0050741C">
        <w:rPr>
          <w:lang w:val="en-US"/>
        </w:rPr>
        <w:t xml:space="preserve"> 2016</w:t>
      </w:r>
      <w:r w:rsidR="005656DA" w:rsidRPr="0050741C">
        <w:rPr>
          <w:lang w:val="en-US"/>
        </w:rPr>
        <w:t>)</w:t>
      </w:r>
      <w:r w:rsidR="00B33E0E">
        <w:rPr>
          <w:lang w:val="en-US"/>
        </w:rPr>
        <w:t>.</w:t>
      </w:r>
    </w:p>
    <w:p w14:paraId="30E449B0" w14:textId="77777777" w:rsidR="00CD3A1F" w:rsidRPr="0050741C" w:rsidRDefault="00CD3A1F" w:rsidP="00901DF3">
      <w:pPr>
        <w:spacing w:line="480" w:lineRule="auto"/>
        <w:jc w:val="both"/>
        <w:rPr>
          <w:lang w:val="en-US"/>
        </w:rPr>
      </w:pPr>
    </w:p>
    <w:p w14:paraId="40EBABBF" w14:textId="77777777" w:rsidR="005A6F01" w:rsidRPr="0050741C" w:rsidRDefault="00CD3A1F" w:rsidP="00901DF3">
      <w:pPr>
        <w:spacing w:line="480" w:lineRule="auto"/>
        <w:jc w:val="both"/>
        <w:outlineLvl w:val="0"/>
        <w:rPr>
          <w:b/>
          <w:lang w:val="en-US"/>
        </w:rPr>
      </w:pPr>
      <w:r w:rsidRPr="0050741C">
        <w:rPr>
          <w:b/>
          <w:lang w:val="en-US"/>
        </w:rPr>
        <w:t>Table 1: Comparison of parameters considered in CBA transport contexts</w:t>
      </w:r>
    </w:p>
    <w:tbl>
      <w:tblPr>
        <w:tblStyle w:val="Tabelraster"/>
        <w:tblW w:w="9493" w:type="dxa"/>
        <w:tblLayout w:type="fixed"/>
        <w:tblLook w:val="04A0" w:firstRow="1" w:lastRow="0" w:firstColumn="1" w:lastColumn="0" w:noHBand="0" w:noVBand="1"/>
      </w:tblPr>
      <w:tblGrid>
        <w:gridCol w:w="2512"/>
        <w:gridCol w:w="4230"/>
        <w:gridCol w:w="522"/>
        <w:gridCol w:w="681"/>
        <w:gridCol w:w="656"/>
        <w:gridCol w:w="892"/>
      </w:tblGrid>
      <w:tr w:rsidR="00F35B01" w:rsidRPr="00771A11" w14:paraId="3618AA56" w14:textId="77777777" w:rsidTr="00A16DE3">
        <w:tc>
          <w:tcPr>
            <w:tcW w:w="2512" w:type="dxa"/>
          </w:tcPr>
          <w:p w14:paraId="2C288AD1" w14:textId="77777777" w:rsidR="007564BB" w:rsidRPr="00771A11" w:rsidRDefault="007564BB" w:rsidP="00901DF3">
            <w:pPr>
              <w:spacing w:line="480" w:lineRule="auto"/>
              <w:jc w:val="both"/>
              <w:rPr>
                <w:b/>
              </w:rPr>
            </w:pPr>
            <w:r w:rsidRPr="00771A11">
              <w:rPr>
                <w:b/>
              </w:rPr>
              <w:t>Parameter</w:t>
            </w:r>
          </w:p>
        </w:tc>
        <w:tc>
          <w:tcPr>
            <w:tcW w:w="4230" w:type="dxa"/>
          </w:tcPr>
          <w:p w14:paraId="2A6231E5" w14:textId="77777777" w:rsidR="007564BB" w:rsidRPr="00771A11" w:rsidRDefault="007564BB" w:rsidP="00901DF3">
            <w:pPr>
              <w:spacing w:line="480" w:lineRule="auto"/>
              <w:jc w:val="both"/>
              <w:rPr>
                <w:b/>
              </w:rPr>
            </w:pPr>
            <w:r w:rsidRPr="00771A11">
              <w:rPr>
                <w:b/>
              </w:rPr>
              <w:t>Definition</w:t>
            </w:r>
          </w:p>
        </w:tc>
        <w:tc>
          <w:tcPr>
            <w:tcW w:w="522" w:type="dxa"/>
          </w:tcPr>
          <w:p w14:paraId="1420D9FD" w14:textId="77777777" w:rsidR="007564BB" w:rsidRPr="00771A11" w:rsidRDefault="007564BB" w:rsidP="00901DF3">
            <w:pPr>
              <w:spacing w:line="480" w:lineRule="auto"/>
              <w:jc w:val="both"/>
              <w:rPr>
                <w:b/>
              </w:rPr>
            </w:pPr>
            <w:r w:rsidRPr="00771A11">
              <w:rPr>
                <w:b/>
              </w:rPr>
              <w:t>EC</w:t>
            </w:r>
          </w:p>
        </w:tc>
        <w:tc>
          <w:tcPr>
            <w:tcW w:w="681" w:type="dxa"/>
          </w:tcPr>
          <w:p w14:paraId="4B577070" w14:textId="77777777" w:rsidR="007564BB" w:rsidRPr="00771A11" w:rsidRDefault="007564BB" w:rsidP="00901DF3">
            <w:pPr>
              <w:spacing w:line="480" w:lineRule="auto"/>
              <w:jc w:val="both"/>
              <w:rPr>
                <w:b/>
              </w:rPr>
            </w:pPr>
            <w:r w:rsidRPr="00771A11">
              <w:rPr>
                <w:b/>
              </w:rPr>
              <w:t>CPH</w:t>
            </w:r>
          </w:p>
        </w:tc>
        <w:tc>
          <w:tcPr>
            <w:tcW w:w="656" w:type="dxa"/>
          </w:tcPr>
          <w:p w14:paraId="748154FF" w14:textId="77777777" w:rsidR="007564BB" w:rsidRPr="00771A11" w:rsidRDefault="003F00F8" w:rsidP="00901DF3">
            <w:pPr>
              <w:spacing w:line="480" w:lineRule="auto"/>
              <w:jc w:val="both"/>
              <w:rPr>
                <w:b/>
              </w:rPr>
            </w:pPr>
            <w:r>
              <w:rPr>
                <w:b/>
              </w:rPr>
              <w:t>E</w:t>
            </w:r>
            <w:r w:rsidR="007564BB" w:rsidRPr="00771A11">
              <w:rPr>
                <w:b/>
              </w:rPr>
              <w:t>C</w:t>
            </w:r>
            <w:r>
              <w:rPr>
                <w:b/>
              </w:rPr>
              <w:t>F</w:t>
            </w:r>
          </w:p>
        </w:tc>
        <w:tc>
          <w:tcPr>
            <w:tcW w:w="892" w:type="dxa"/>
          </w:tcPr>
          <w:p w14:paraId="20A6B273" w14:textId="39392C37" w:rsidR="007564BB" w:rsidRPr="00771A11" w:rsidRDefault="00A16DE3" w:rsidP="00901DF3">
            <w:pPr>
              <w:spacing w:line="480" w:lineRule="auto"/>
              <w:jc w:val="both"/>
              <w:rPr>
                <w:b/>
              </w:rPr>
            </w:pPr>
            <w:r>
              <w:rPr>
                <w:b/>
              </w:rPr>
              <w:t>VTPI</w:t>
            </w:r>
          </w:p>
        </w:tc>
      </w:tr>
      <w:tr w:rsidR="00EA0828" w:rsidRPr="00771A11" w14:paraId="68ED702C" w14:textId="77777777" w:rsidTr="00A16DE3">
        <w:tc>
          <w:tcPr>
            <w:tcW w:w="9493" w:type="dxa"/>
            <w:gridSpan w:val="6"/>
          </w:tcPr>
          <w:p w14:paraId="6B4B86CC" w14:textId="77777777" w:rsidR="00E05E00" w:rsidRPr="00771A11" w:rsidRDefault="00E05E00" w:rsidP="00901DF3">
            <w:pPr>
              <w:spacing w:line="480" w:lineRule="auto"/>
              <w:jc w:val="both"/>
              <w:rPr>
                <w:b/>
                <w:i/>
              </w:rPr>
            </w:pPr>
          </w:p>
          <w:p w14:paraId="4B7F2CFB" w14:textId="77777777" w:rsidR="00EA0828" w:rsidRPr="00771A11" w:rsidRDefault="00EA0828" w:rsidP="00901DF3">
            <w:pPr>
              <w:spacing w:line="480" w:lineRule="auto"/>
              <w:jc w:val="both"/>
            </w:pPr>
            <w:r w:rsidRPr="00771A11">
              <w:rPr>
                <w:b/>
                <w:i/>
              </w:rPr>
              <w:t>Environment</w:t>
            </w:r>
          </w:p>
        </w:tc>
      </w:tr>
      <w:tr w:rsidR="00255B72" w:rsidRPr="00771A11" w14:paraId="73C376F8" w14:textId="77777777" w:rsidTr="00A16DE3">
        <w:tc>
          <w:tcPr>
            <w:tcW w:w="2512" w:type="dxa"/>
          </w:tcPr>
          <w:p w14:paraId="77F543C3" w14:textId="77777777" w:rsidR="007564BB" w:rsidRPr="00771A11" w:rsidRDefault="00FB2820" w:rsidP="00901DF3">
            <w:pPr>
              <w:spacing w:line="480" w:lineRule="auto"/>
            </w:pPr>
            <w:r w:rsidRPr="00771A11">
              <w:t xml:space="preserve">1. </w:t>
            </w:r>
            <w:r w:rsidR="007564BB" w:rsidRPr="00771A11">
              <w:t>Climate change</w:t>
            </w:r>
          </w:p>
        </w:tc>
        <w:tc>
          <w:tcPr>
            <w:tcW w:w="4230" w:type="dxa"/>
          </w:tcPr>
          <w:p w14:paraId="173592BE" w14:textId="77777777" w:rsidR="007564BB" w:rsidRPr="0050741C" w:rsidRDefault="00231FAD" w:rsidP="00901DF3">
            <w:pPr>
              <w:spacing w:line="480" w:lineRule="auto"/>
              <w:jc w:val="both"/>
              <w:rPr>
                <w:lang w:val="en-US"/>
              </w:rPr>
            </w:pPr>
            <w:r w:rsidRPr="0050741C">
              <w:rPr>
                <w:lang w:val="en-US"/>
              </w:rPr>
              <w:t>Cost of climate change effects linked to greenhouse gas emissions (CO</w:t>
            </w:r>
            <w:r w:rsidRPr="0050741C">
              <w:rPr>
                <w:vertAlign w:val="subscript"/>
                <w:lang w:val="en-US"/>
              </w:rPr>
              <w:t>2</w:t>
            </w:r>
            <w:r w:rsidR="00746655" w:rsidRPr="0050741C">
              <w:rPr>
                <w:lang w:val="en-US"/>
              </w:rPr>
              <w:t>, other long-lived GHG)</w:t>
            </w:r>
          </w:p>
        </w:tc>
        <w:tc>
          <w:tcPr>
            <w:tcW w:w="522" w:type="dxa"/>
          </w:tcPr>
          <w:p w14:paraId="7D4B4315" w14:textId="77777777" w:rsidR="007564BB" w:rsidRPr="00771A11" w:rsidRDefault="00061D48" w:rsidP="00901DF3">
            <w:pPr>
              <w:spacing w:line="480" w:lineRule="auto"/>
              <w:jc w:val="both"/>
            </w:pPr>
            <w:r w:rsidRPr="00771A11">
              <w:t>X</w:t>
            </w:r>
          </w:p>
        </w:tc>
        <w:tc>
          <w:tcPr>
            <w:tcW w:w="681" w:type="dxa"/>
          </w:tcPr>
          <w:p w14:paraId="4B598872" w14:textId="77777777" w:rsidR="007564BB" w:rsidRPr="00771A11" w:rsidRDefault="0077250C" w:rsidP="00901DF3">
            <w:pPr>
              <w:spacing w:line="480" w:lineRule="auto"/>
              <w:jc w:val="both"/>
            </w:pPr>
            <w:r w:rsidRPr="00771A11">
              <w:t>X</w:t>
            </w:r>
          </w:p>
        </w:tc>
        <w:tc>
          <w:tcPr>
            <w:tcW w:w="656" w:type="dxa"/>
          </w:tcPr>
          <w:p w14:paraId="44D45528" w14:textId="77777777" w:rsidR="007564BB" w:rsidRPr="00771A11" w:rsidRDefault="00FF1CEC" w:rsidP="00901DF3">
            <w:pPr>
              <w:spacing w:line="480" w:lineRule="auto"/>
              <w:jc w:val="both"/>
            </w:pPr>
            <w:r w:rsidRPr="00771A11">
              <w:t>X</w:t>
            </w:r>
          </w:p>
        </w:tc>
        <w:tc>
          <w:tcPr>
            <w:tcW w:w="892" w:type="dxa"/>
          </w:tcPr>
          <w:p w14:paraId="20D3ADE9" w14:textId="77777777" w:rsidR="007564BB" w:rsidRPr="00771A11" w:rsidRDefault="00FF1CEC" w:rsidP="00901DF3">
            <w:pPr>
              <w:spacing w:line="480" w:lineRule="auto"/>
              <w:jc w:val="both"/>
            </w:pPr>
            <w:r w:rsidRPr="00771A11">
              <w:t>X</w:t>
            </w:r>
          </w:p>
        </w:tc>
      </w:tr>
      <w:tr w:rsidR="00255B72" w:rsidRPr="00771A11" w14:paraId="1B1C2A1B" w14:textId="77777777" w:rsidTr="00A16DE3">
        <w:tc>
          <w:tcPr>
            <w:tcW w:w="2512" w:type="dxa"/>
          </w:tcPr>
          <w:p w14:paraId="2CB7F232" w14:textId="77777777" w:rsidR="007564BB" w:rsidRPr="00771A11" w:rsidRDefault="00FB2820" w:rsidP="00901DF3">
            <w:pPr>
              <w:spacing w:line="480" w:lineRule="auto"/>
            </w:pPr>
            <w:r w:rsidRPr="00771A11">
              <w:t xml:space="preserve">2. </w:t>
            </w:r>
            <w:r w:rsidR="007564BB" w:rsidRPr="00771A11">
              <w:t>Air pollution</w:t>
            </w:r>
          </w:p>
        </w:tc>
        <w:tc>
          <w:tcPr>
            <w:tcW w:w="4230" w:type="dxa"/>
          </w:tcPr>
          <w:p w14:paraId="27D3236F" w14:textId="77777777" w:rsidR="007564BB" w:rsidRPr="0050741C" w:rsidRDefault="00FF1CEC" w:rsidP="00901DF3">
            <w:pPr>
              <w:spacing w:line="480" w:lineRule="auto"/>
              <w:jc w:val="both"/>
              <w:rPr>
                <w:lang w:val="en-US"/>
              </w:rPr>
            </w:pPr>
            <w:r w:rsidRPr="0050741C">
              <w:rPr>
                <w:lang w:val="en-US"/>
              </w:rPr>
              <w:t>Cost of air pollution</w:t>
            </w:r>
            <w:r w:rsidR="00231FAD" w:rsidRPr="0050741C">
              <w:rPr>
                <w:lang w:val="en-US"/>
              </w:rPr>
              <w:t>, including economic and health effects of CO, NO</w:t>
            </w:r>
            <w:r w:rsidR="00231FAD" w:rsidRPr="0050741C">
              <w:rPr>
                <w:vertAlign w:val="subscript"/>
                <w:lang w:val="en-US"/>
              </w:rPr>
              <w:t>x</w:t>
            </w:r>
            <w:r w:rsidR="00231FAD" w:rsidRPr="0050741C">
              <w:rPr>
                <w:lang w:val="en-US"/>
              </w:rPr>
              <w:t>, PM</w:t>
            </w:r>
            <w:r w:rsidR="00231FAD" w:rsidRPr="0050741C">
              <w:rPr>
                <w:vertAlign w:val="subscript"/>
                <w:lang w:val="en-US"/>
              </w:rPr>
              <w:t>2.5</w:t>
            </w:r>
            <w:r w:rsidR="00231FAD" w:rsidRPr="0050741C">
              <w:rPr>
                <w:lang w:val="en-US"/>
              </w:rPr>
              <w:t>, PM</w:t>
            </w:r>
            <w:r w:rsidR="00231FAD" w:rsidRPr="0050741C">
              <w:rPr>
                <w:vertAlign w:val="subscript"/>
                <w:lang w:val="en-US"/>
              </w:rPr>
              <w:t>10</w:t>
            </w:r>
            <w:r w:rsidR="00231FAD" w:rsidRPr="0050741C">
              <w:rPr>
                <w:lang w:val="en-US"/>
              </w:rPr>
              <w:t>, SO</w:t>
            </w:r>
            <w:r w:rsidR="00231FAD" w:rsidRPr="0050741C">
              <w:rPr>
                <w:vertAlign w:val="subscript"/>
                <w:lang w:val="en-US"/>
              </w:rPr>
              <w:t>x</w:t>
            </w:r>
            <w:r w:rsidR="00231FAD" w:rsidRPr="0050741C">
              <w:rPr>
                <w:lang w:val="en-US"/>
              </w:rPr>
              <w:t>, VOC, and O</w:t>
            </w:r>
            <w:r w:rsidR="00231FAD" w:rsidRPr="0050741C">
              <w:rPr>
                <w:vertAlign w:val="subscript"/>
                <w:lang w:val="en-US"/>
              </w:rPr>
              <w:t>3</w:t>
            </w:r>
            <w:r w:rsidR="00231FAD" w:rsidRPr="0050741C">
              <w:rPr>
                <w:lang w:val="en-US"/>
              </w:rPr>
              <w:t xml:space="preserve">. </w:t>
            </w:r>
          </w:p>
        </w:tc>
        <w:tc>
          <w:tcPr>
            <w:tcW w:w="522" w:type="dxa"/>
          </w:tcPr>
          <w:p w14:paraId="6A0326CC" w14:textId="77777777" w:rsidR="007564BB" w:rsidRPr="00771A11" w:rsidRDefault="00FF1CEC" w:rsidP="00901DF3">
            <w:pPr>
              <w:spacing w:line="480" w:lineRule="auto"/>
              <w:jc w:val="both"/>
            </w:pPr>
            <w:r w:rsidRPr="00771A11">
              <w:t>X</w:t>
            </w:r>
          </w:p>
        </w:tc>
        <w:tc>
          <w:tcPr>
            <w:tcW w:w="681" w:type="dxa"/>
          </w:tcPr>
          <w:p w14:paraId="15F45945" w14:textId="77777777" w:rsidR="007564BB" w:rsidRPr="00771A11" w:rsidRDefault="0077250C" w:rsidP="00901DF3">
            <w:pPr>
              <w:spacing w:line="480" w:lineRule="auto"/>
              <w:jc w:val="both"/>
            </w:pPr>
            <w:r w:rsidRPr="00771A11">
              <w:t>X</w:t>
            </w:r>
          </w:p>
        </w:tc>
        <w:tc>
          <w:tcPr>
            <w:tcW w:w="656" w:type="dxa"/>
          </w:tcPr>
          <w:p w14:paraId="5A117AE4" w14:textId="77777777" w:rsidR="007564BB" w:rsidRPr="00771A11" w:rsidRDefault="00FF1CEC" w:rsidP="00901DF3">
            <w:pPr>
              <w:spacing w:line="480" w:lineRule="auto"/>
              <w:jc w:val="both"/>
            </w:pPr>
            <w:r w:rsidRPr="00771A11">
              <w:t>X</w:t>
            </w:r>
          </w:p>
        </w:tc>
        <w:tc>
          <w:tcPr>
            <w:tcW w:w="892" w:type="dxa"/>
          </w:tcPr>
          <w:p w14:paraId="6BA459F6" w14:textId="77777777" w:rsidR="007564BB" w:rsidRPr="00771A11" w:rsidRDefault="00061D48" w:rsidP="00901DF3">
            <w:pPr>
              <w:spacing w:line="480" w:lineRule="auto"/>
              <w:jc w:val="both"/>
            </w:pPr>
            <w:r w:rsidRPr="00771A11">
              <w:t>X</w:t>
            </w:r>
          </w:p>
        </w:tc>
      </w:tr>
      <w:tr w:rsidR="00255B72" w:rsidRPr="00771A11" w14:paraId="461C6D40" w14:textId="77777777" w:rsidTr="00A16DE3">
        <w:tc>
          <w:tcPr>
            <w:tcW w:w="2512" w:type="dxa"/>
          </w:tcPr>
          <w:p w14:paraId="22880B7A" w14:textId="77777777" w:rsidR="007564BB" w:rsidRPr="00771A11" w:rsidRDefault="00FB2820" w:rsidP="00901DF3">
            <w:pPr>
              <w:spacing w:line="480" w:lineRule="auto"/>
            </w:pPr>
            <w:r w:rsidRPr="00771A11">
              <w:t xml:space="preserve">3. </w:t>
            </w:r>
            <w:r w:rsidR="007564BB" w:rsidRPr="00771A11">
              <w:t>Noise pollution</w:t>
            </w:r>
          </w:p>
        </w:tc>
        <w:tc>
          <w:tcPr>
            <w:tcW w:w="4230" w:type="dxa"/>
          </w:tcPr>
          <w:p w14:paraId="582D0D9A" w14:textId="77777777" w:rsidR="007564BB" w:rsidRPr="0050741C" w:rsidRDefault="00F028C2" w:rsidP="00901DF3">
            <w:pPr>
              <w:spacing w:line="480" w:lineRule="auto"/>
              <w:jc w:val="both"/>
              <w:rPr>
                <w:lang w:val="en-US"/>
              </w:rPr>
            </w:pPr>
            <w:r w:rsidRPr="0050741C">
              <w:rPr>
                <w:lang w:val="en-US"/>
              </w:rPr>
              <w:t>Cost of noise</w:t>
            </w:r>
            <w:r w:rsidR="00255B72" w:rsidRPr="0050741C">
              <w:rPr>
                <w:lang w:val="en-US"/>
              </w:rPr>
              <w:t>, including amenity costs (property values, productivity or health costs)</w:t>
            </w:r>
          </w:p>
        </w:tc>
        <w:tc>
          <w:tcPr>
            <w:tcW w:w="522" w:type="dxa"/>
          </w:tcPr>
          <w:p w14:paraId="536FB552" w14:textId="77777777" w:rsidR="007564BB" w:rsidRPr="00771A11" w:rsidRDefault="00F028C2" w:rsidP="00901DF3">
            <w:pPr>
              <w:spacing w:line="480" w:lineRule="auto"/>
              <w:jc w:val="both"/>
            </w:pPr>
            <w:r w:rsidRPr="00771A11">
              <w:t>X</w:t>
            </w:r>
          </w:p>
        </w:tc>
        <w:tc>
          <w:tcPr>
            <w:tcW w:w="681" w:type="dxa"/>
          </w:tcPr>
          <w:p w14:paraId="7F8BE599" w14:textId="77777777" w:rsidR="007564BB" w:rsidRPr="00771A11" w:rsidRDefault="0077250C" w:rsidP="00901DF3">
            <w:pPr>
              <w:spacing w:line="480" w:lineRule="auto"/>
              <w:jc w:val="both"/>
            </w:pPr>
            <w:r w:rsidRPr="00771A11">
              <w:t>X</w:t>
            </w:r>
          </w:p>
        </w:tc>
        <w:tc>
          <w:tcPr>
            <w:tcW w:w="656" w:type="dxa"/>
          </w:tcPr>
          <w:p w14:paraId="34F4247B" w14:textId="77777777" w:rsidR="007564BB" w:rsidRPr="00771A11" w:rsidRDefault="002F46B5" w:rsidP="00901DF3">
            <w:pPr>
              <w:spacing w:line="480" w:lineRule="auto"/>
              <w:jc w:val="both"/>
            </w:pPr>
            <w:r w:rsidRPr="00771A11">
              <w:t>X</w:t>
            </w:r>
          </w:p>
        </w:tc>
        <w:tc>
          <w:tcPr>
            <w:tcW w:w="892" w:type="dxa"/>
          </w:tcPr>
          <w:p w14:paraId="15284CF1" w14:textId="77777777" w:rsidR="007564BB" w:rsidRPr="00771A11" w:rsidRDefault="008417DC" w:rsidP="00901DF3">
            <w:pPr>
              <w:spacing w:line="480" w:lineRule="auto"/>
              <w:jc w:val="both"/>
            </w:pPr>
            <w:r w:rsidRPr="00771A11">
              <w:t>X</w:t>
            </w:r>
          </w:p>
        </w:tc>
      </w:tr>
      <w:tr w:rsidR="00906175" w:rsidRPr="00771A11" w14:paraId="4EE4324D" w14:textId="77777777" w:rsidTr="00A16DE3">
        <w:tc>
          <w:tcPr>
            <w:tcW w:w="2512" w:type="dxa"/>
          </w:tcPr>
          <w:p w14:paraId="3B1EC52A" w14:textId="4825C960" w:rsidR="00906175" w:rsidRPr="00771A11" w:rsidRDefault="00906175" w:rsidP="00901DF3">
            <w:pPr>
              <w:spacing w:line="480" w:lineRule="auto"/>
            </w:pPr>
            <w:r>
              <w:t>4</w:t>
            </w:r>
            <w:r w:rsidRPr="00771A11">
              <w:t>. Soil and water quality</w:t>
            </w:r>
          </w:p>
        </w:tc>
        <w:tc>
          <w:tcPr>
            <w:tcW w:w="4230" w:type="dxa"/>
          </w:tcPr>
          <w:p w14:paraId="267EA790" w14:textId="77777777" w:rsidR="00906175" w:rsidRPr="0050741C" w:rsidRDefault="00906175" w:rsidP="00901DF3">
            <w:pPr>
              <w:spacing w:line="480" w:lineRule="auto"/>
              <w:jc w:val="both"/>
              <w:rPr>
                <w:lang w:val="en-US"/>
              </w:rPr>
            </w:pPr>
            <w:r w:rsidRPr="0050741C">
              <w:rPr>
                <w:lang w:val="en-US"/>
              </w:rPr>
              <w:t>Pollution of ground water and soils related to contaminants from traffic (heavy metals, hydrocarbons, road salt, etc.)</w:t>
            </w:r>
          </w:p>
        </w:tc>
        <w:tc>
          <w:tcPr>
            <w:tcW w:w="522" w:type="dxa"/>
          </w:tcPr>
          <w:p w14:paraId="63EF07D7" w14:textId="77777777" w:rsidR="00906175" w:rsidRPr="0050741C" w:rsidRDefault="00906175" w:rsidP="00901DF3">
            <w:pPr>
              <w:spacing w:line="480" w:lineRule="auto"/>
              <w:jc w:val="both"/>
              <w:rPr>
                <w:lang w:val="en-US"/>
              </w:rPr>
            </w:pPr>
          </w:p>
        </w:tc>
        <w:tc>
          <w:tcPr>
            <w:tcW w:w="681" w:type="dxa"/>
          </w:tcPr>
          <w:p w14:paraId="640CBCB6" w14:textId="77777777" w:rsidR="00906175" w:rsidRPr="0050741C" w:rsidRDefault="00906175" w:rsidP="00901DF3">
            <w:pPr>
              <w:spacing w:line="480" w:lineRule="auto"/>
              <w:jc w:val="both"/>
              <w:rPr>
                <w:lang w:val="en-US"/>
              </w:rPr>
            </w:pPr>
          </w:p>
        </w:tc>
        <w:tc>
          <w:tcPr>
            <w:tcW w:w="656" w:type="dxa"/>
          </w:tcPr>
          <w:p w14:paraId="57B08AC0" w14:textId="77777777" w:rsidR="00906175" w:rsidRPr="00771A11" w:rsidRDefault="00906175" w:rsidP="00901DF3">
            <w:pPr>
              <w:spacing w:line="480" w:lineRule="auto"/>
              <w:jc w:val="both"/>
            </w:pPr>
            <w:r w:rsidRPr="00771A11">
              <w:t>X</w:t>
            </w:r>
          </w:p>
        </w:tc>
        <w:tc>
          <w:tcPr>
            <w:tcW w:w="892" w:type="dxa"/>
          </w:tcPr>
          <w:p w14:paraId="2AC7D286" w14:textId="77777777" w:rsidR="00906175" w:rsidRPr="00771A11" w:rsidRDefault="00906175" w:rsidP="00901DF3">
            <w:pPr>
              <w:spacing w:line="480" w:lineRule="auto"/>
              <w:jc w:val="both"/>
            </w:pPr>
            <w:r w:rsidRPr="00771A11">
              <w:t>X</w:t>
            </w:r>
          </w:p>
        </w:tc>
      </w:tr>
      <w:tr w:rsidR="00255B72" w:rsidRPr="00771A11" w14:paraId="63994EBF" w14:textId="77777777" w:rsidTr="00A16DE3">
        <w:tc>
          <w:tcPr>
            <w:tcW w:w="2512" w:type="dxa"/>
          </w:tcPr>
          <w:p w14:paraId="4B9816D4" w14:textId="005E22A8" w:rsidR="007564BB" w:rsidRPr="00771A11" w:rsidRDefault="00906175" w:rsidP="00901DF3">
            <w:pPr>
              <w:spacing w:line="480" w:lineRule="auto"/>
            </w:pPr>
            <w:r>
              <w:t>5</w:t>
            </w:r>
            <w:r w:rsidR="00FB2820" w:rsidRPr="00771A11">
              <w:t xml:space="preserve">. </w:t>
            </w:r>
            <w:r w:rsidR="007564BB" w:rsidRPr="00771A11">
              <w:t>Land use</w:t>
            </w:r>
            <w:r w:rsidR="00BC3605">
              <w:t xml:space="preserve"> and infrastructure</w:t>
            </w:r>
          </w:p>
        </w:tc>
        <w:tc>
          <w:tcPr>
            <w:tcW w:w="4230" w:type="dxa"/>
          </w:tcPr>
          <w:p w14:paraId="24B0900B" w14:textId="77777777" w:rsidR="007564BB" w:rsidRPr="0050741C" w:rsidRDefault="00F028C2" w:rsidP="00901DF3">
            <w:pPr>
              <w:spacing w:line="480" w:lineRule="auto"/>
              <w:jc w:val="both"/>
              <w:rPr>
                <w:lang w:val="en-US"/>
              </w:rPr>
            </w:pPr>
            <w:r w:rsidRPr="0050741C">
              <w:rPr>
                <w:lang w:val="en-US"/>
              </w:rPr>
              <w:t xml:space="preserve">Space requirements </w:t>
            </w:r>
            <w:r w:rsidR="0089214D" w:rsidRPr="0050741C">
              <w:rPr>
                <w:lang w:val="en-US"/>
              </w:rPr>
              <w:t>for infrastructure</w:t>
            </w:r>
            <w:r w:rsidR="00BC3605" w:rsidRPr="0050741C">
              <w:rPr>
                <w:lang w:val="en-US"/>
              </w:rPr>
              <w:t xml:space="preserve"> construction</w:t>
            </w:r>
            <w:r w:rsidR="0089214D" w:rsidRPr="0050741C">
              <w:rPr>
                <w:lang w:val="en-US"/>
              </w:rPr>
              <w:t xml:space="preserve">, including parking; </w:t>
            </w:r>
            <w:r w:rsidR="00BC3605" w:rsidRPr="0050741C">
              <w:rPr>
                <w:lang w:val="en-US"/>
              </w:rPr>
              <w:t xml:space="preserve">roadway land and parking value; </w:t>
            </w:r>
            <w:r w:rsidR="0089214D" w:rsidRPr="0050741C">
              <w:rPr>
                <w:lang w:val="en-US"/>
              </w:rPr>
              <w:t>loss of ecosystem service values</w:t>
            </w:r>
          </w:p>
        </w:tc>
        <w:tc>
          <w:tcPr>
            <w:tcW w:w="522" w:type="dxa"/>
          </w:tcPr>
          <w:p w14:paraId="2492C559" w14:textId="77777777" w:rsidR="007564BB" w:rsidRPr="0050741C" w:rsidRDefault="007564BB" w:rsidP="00901DF3">
            <w:pPr>
              <w:spacing w:line="480" w:lineRule="auto"/>
              <w:jc w:val="both"/>
              <w:rPr>
                <w:lang w:val="en-US"/>
              </w:rPr>
            </w:pPr>
          </w:p>
        </w:tc>
        <w:tc>
          <w:tcPr>
            <w:tcW w:w="681" w:type="dxa"/>
          </w:tcPr>
          <w:p w14:paraId="2DA9A885" w14:textId="77777777" w:rsidR="007564BB" w:rsidRPr="0050741C" w:rsidRDefault="007564BB" w:rsidP="00901DF3">
            <w:pPr>
              <w:spacing w:line="480" w:lineRule="auto"/>
              <w:jc w:val="both"/>
              <w:rPr>
                <w:lang w:val="en-US"/>
              </w:rPr>
            </w:pPr>
          </w:p>
        </w:tc>
        <w:tc>
          <w:tcPr>
            <w:tcW w:w="656" w:type="dxa"/>
          </w:tcPr>
          <w:p w14:paraId="60B2D134" w14:textId="77777777" w:rsidR="007564BB" w:rsidRPr="00771A11" w:rsidRDefault="00F028C2" w:rsidP="00901DF3">
            <w:pPr>
              <w:spacing w:line="480" w:lineRule="auto"/>
              <w:jc w:val="both"/>
            </w:pPr>
            <w:r w:rsidRPr="00771A11">
              <w:t>X</w:t>
            </w:r>
          </w:p>
        </w:tc>
        <w:tc>
          <w:tcPr>
            <w:tcW w:w="892" w:type="dxa"/>
          </w:tcPr>
          <w:p w14:paraId="47109E64" w14:textId="77777777" w:rsidR="007564BB" w:rsidRPr="00771A11" w:rsidRDefault="004125B8" w:rsidP="00901DF3">
            <w:pPr>
              <w:spacing w:line="480" w:lineRule="auto"/>
              <w:jc w:val="both"/>
            </w:pPr>
            <w:r w:rsidRPr="00771A11">
              <w:t>X</w:t>
            </w:r>
          </w:p>
        </w:tc>
      </w:tr>
      <w:tr w:rsidR="00EA6288" w:rsidRPr="00771A11" w14:paraId="3A0F0CF3" w14:textId="77777777" w:rsidTr="00A16DE3">
        <w:trPr>
          <w:trHeight w:val="530"/>
        </w:trPr>
        <w:tc>
          <w:tcPr>
            <w:tcW w:w="2512" w:type="dxa"/>
          </w:tcPr>
          <w:p w14:paraId="078041BD" w14:textId="3F67506A" w:rsidR="00EA6288" w:rsidRPr="00771A11" w:rsidRDefault="00906175" w:rsidP="00901DF3">
            <w:pPr>
              <w:spacing w:line="480" w:lineRule="auto"/>
            </w:pPr>
            <w:r>
              <w:t>6</w:t>
            </w:r>
            <w:r w:rsidR="00EA6288" w:rsidRPr="00771A11">
              <w:t>. Traffic infrastructure</w:t>
            </w:r>
            <w:r w:rsidR="00EA6288">
              <w:t xml:space="preserve"> maintenance</w:t>
            </w:r>
          </w:p>
        </w:tc>
        <w:tc>
          <w:tcPr>
            <w:tcW w:w="4230" w:type="dxa"/>
          </w:tcPr>
          <w:p w14:paraId="5E66B2B8" w14:textId="18505793" w:rsidR="00EA6288" w:rsidRPr="0050741C" w:rsidRDefault="00EA6288" w:rsidP="00901DF3">
            <w:pPr>
              <w:spacing w:line="480" w:lineRule="auto"/>
              <w:jc w:val="both"/>
              <w:rPr>
                <w:lang w:val="en-US"/>
              </w:rPr>
            </w:pPr>
            <w:r w:rsidRPr="0050741C">
              <w:rPr>
                <w:lang w:val="en-US"/>
              </w:rPr>
              <w:t>Cost of infrastructure maintenance, administration and traffic police</w:t>
            </w:r>
          </w:p>
        </w:tc>
        <w:tc>
          <w:tcPr>
            <w:tcW w:w="522" w:type="dxa"/>
          </w:tcPr>
          <w:p w14:paraId="24E32C7D" w14:textId="77777777" w:rsidR="00EA6288" w:rsidRPr="0050741C" w:rsidRDefault="00EA6288" w:rsidP="00901DF3">
            <w:pPr>
              <w:spacing w:line="480" w:lineRule="auto"/>
              <w:jc w:val="both"/>
              <w:rPr>
                <w:lang w:val="en-US"/>
              </w:rPr>
            </w:pPr>
          </w:p>
        </w:tc>
        <w:tc>
          <w:tcPr>
            <w:tcW w:w="681" w:type="dxa"/>
          </w:tcPr>
          <w:p w14:paraId="3A2E839D" w14:textId="343E9774" w:rsidR="00EA6288" w:rsidRPr="00771A11" w:rsidRDefault="00EA6288" w:rsidP="00901DF3">
            <w:pPr>
              <w:spacing w:line="480" w:lineRule="auto"/>
              <w:jc w:val="both"/>
            </w:pPr>
            <w:r>
              <w:t>X</w:t>
            </w:r>
          </w:p>
        </w:tc>
        <w:tc>
          <w:tcPr>
            <w:tcW w:w="656" w:type="dxa"/>
          </w:tcPr>
          <w:p w14:paraId="257BED76" w14:textId="77777777" w:rsidR="00EA6288" w:rsidRPr="00771A11" w:rsidRDefault="00EA6288" w:rsidP="00901DF3">
            <w:pPr>
              <w:spacing w:line="480" w:lineRule="auto"/>
              <w:jc w:val="both"/>
            </w:pPr>
          </w:p>
        </w:tc>
        <w:tc>
          <w:tcPr>
            <w:tcW w:w="892" w:type="dxa"/>
          </w:tcPr>
          <w:p w14:paraId="1E519007" w14:textId="604513FB" w:rsidR="00EA6288" w:rsidRPr="00771A11" w:rsidRDefault="00EA6288" w:rsidP="00901DF3">
            <w:pPr>
              <w:spacing w:line="480" w:lineRule="auto"/>
              <w:jc w:val="both"/>
            </w:pPr>
            <w:r>
              <w:t>X</w:t>
            </w:r>
          </w:p>
        </w:tc>
      </w:tr>
      <w:tr w:rsidR="007523A3" w:rsidRPr="00771A11" w14:paraId="23B75A65" w14:textId="77777777" w:rsidTr="00A16DE3">
        <w:tc>
          <w:tcPr>
            <w:tcW w:w="2512" w:type="dxa"/>
          </w:tcPr>
          <w:p w14:paraId="161F8155" w14:textId="5F3AAF42" w:rsidR="007523A3" w:rsidRPr="00771A11" w:rsidRDefault="00EA6288" w:rsidP="00901DF3">
            <w:pPr>
              <w:spacing w:line="480" w:lineRule="auto"/>
            </w:pPr>
            <w:r>
              <w:t>7</w:t>
            </w:r>
            <w:r w:rsidR="00FB2820" w:rsidRPr="00771A11">
              <w:t xml:space="preserve">. </w:t>
            </w:r>
            <w:r w:rsidR="007523A3" w:rsidRPr="00771A11">
              <w:t>Resource requirements</w:t>
            </w:r>
          </w:p>
        </w:tc>
        <w:tc>
          <w:tcPr>
            <w:tcW w:w="4230" w:type="dxa"/>
          </w:tcPr>
          <w:p w14:paraId="51B153A6" w14:textId="77777777" w:rsidR="007523A3" w:rsidRPr="0050741C" w:rsidRDefault="007523A3" w:rsidP="00901DF3">
            <w:pPr>
              <w:spacing w:line="480" w:lineRule="auto"/>
              <w:jc w:val="both"/>
              <w:rPr>
                <w:lang w:val="en-US"/>
              </w:rPr>
            </w:pPr>
            <w:r w:rsidRPr="0050741C">
              <w:rPr>
                <w:lang w:val="en-US"/>
              </w:rPr>
              <w:t xml:space="preserve">Resources needed to build cars/bicycles, as well as the cost to recycle resources, or to </w:t>
            </w:r>
            <w:r w:rsidRPr="0050741C">
              <w:rPr>
                <w:lang w:val="en-US"/>
              </w:rPr>
              <w:lastRenderedPageBreak/>
              <w:t>deposit wastes (lifecycle based)</w:t>
            </w:r>
          </w:p>
        </w:tc>
        <w:tc>
          <w:tcPr>
            <w:tcW w:w="522" w:type="dxa"/>
          </w:tcPr>
          <w:p w14:paraId="1AE2E2DF" w14:textId="77777777" w:rsidR="007523A3" w:rsidRPr="0050741C" w:rsidRDefault="007523A3" w:rsidP="00901DF3">
            <w:pPr>
              <w:spacing w:line="480" w:lineRule="auto"/>
              <w:jc w:val="both"/>
              <w:rPr>
                <w:lang w:val="en-US"/>
              </w:rPr>
            </w:pPr>
          </w:p>
        </w:tc>
        <w:tc>
          <w:tcPr>
            <w:tcW w:w="681" w:type="dxa"/>
          </w:tcPr>
          <w:p w14:paraId="0D263724" w14:textId="77777777" w:rsidR="007523A3" w:rsidRPr="0050741C" w:rsidRDefault="007523A3" w:rsidP="00901DF3">
            <w:pPr>
              <w:spacing w:line="480" w:lineRule="auto"/>
              <w:jc w:val="both"/>
              <w:rPr>
                <w:lang w:val="en-US"/>
              </w:rPr>
            </w:pPr>
          </w:p>
        </w:tc>
        <w:tc>
          <w:tcPr>
            <w:tcW w:w="656" w:type="dxa"/>
          </w:tcPr>
          <w:p w14:paraId="0E1E276A" w14:textId="77777777" w:rsidR="007523A3" w:rsidRPr="00771A11" w:rsidRDefault="007523A3" w:rsidP="00901DF3">
            <w:pPr>
              <w:spacing w:line="480" w:lineRule="auto"/>
              <w:jc w:val="both"/>
            </w:pPr>
            <w:r w:rsidRPr="00771A11">
              <w:t>X</w:t>
            </w:r>
          </w:p>
        </w:tc>
        <w:tc>
          <w:tcPr>
            <w:tcW w:w="892" w:type="dxa"/>
          </w:tcPr>
          <w:p w14:paraId="35DABDFD" w14:textId="77777777" w:rsidR="007523A3" w:rsidRPr="00771A11" w:rsidRDefault="007523A3" w:rsidP="00901DF3">
            <w:pPr>
              <w:spacing w:line="480" w:lineRule="auto"/>
              <w:jc w:val="both"/>
            </w:pPr>
            <w:r w:rsidRPr="00771A11">
              <w:t>X</w:t>
            </w:r>
          </w:p>
        </w:tc>
      </w:tr>
      <w:tr w:rsidR="000C4A88" w:rsidRPr="00CE63EF" w14:paraId="4FEF99AC" w14:textId="77777777" w:rsidTr="00A16DE3">
        <w:tc>
          <w:tcPr>
            <w:tcW w:w="9493" w:type="dxa"/>
            <w:gridSpan w:val="6"/>
          </w:tcPr>
          <w:p w14:paraId="4C13931B" w14:textId="77777777" w:rsidR="00E05E00" w:rsidRPr="0050741C" w:rsidRDefault="00E05E00" w:rsidP="00901DF3">
            <w:pPr>
              <w:spacing w:line="480" w:lineRule="auto"/>
              <w:jc w:val="both"/>
              <w:rPr>
                <w:b/>
                <w:i/>
                <w:lang w:val="en-US"/>
              </w:rPr>
            </w:pPr>
          </w:p>
          <w:p w14:paraId="25FF586A" w14:textId="77777777" w:rsidR="000C4A88" w:rsidRPr="0050741C" w:rsidRDefault="00AA5B9B" w:rsidP="00901DF3">
            <w:pPr>
              <w:spacing w:line="480" w:lineRule="auto"/>
              <w:jc w:val="both"/>
              <w:rPr>
                <w:b/>
                <w:i/>
                <w:lang w:val="en-US"/>
              </w:rPr>
            </w:pPr>
            <w:r w:rsidRPr="0050741C">
              <w:rPr>
                <w:b/>
                <w:i/>
                <w:lang w:val="en-US"/>
              </w:rPr>
              <w:t>T</w:t>
            </w:r>
            <w:r w:rsidR="00ED2E8D" w:rsidRPr="0050741C">
              <w:rPr>
                <w:b/>
                <w:i/>
                <w:lang w:val="en-US"/>
              </w:rPr>
              <w:t>ravel t</w:t>
            </w:r>
            <w:r w:rsidR="007523A3" w:rsidRPr="0050741C">
              <w:rPr>
                <w:b/>
                <w:i/>
                <w:lang w:val="en-US"/>
              </w:rPr>
              <w:t>ime and</w:t>
            </w:r>
            <w:r w:rsidRPr="0050741C">
              <w:rPr>
                <w:b/>
                <w:i/>
                <w:lang w:val="en-US"/>
              </w:rPr>
              <w:t xml:space="preserve"> vehicle o</w:t>
            </w:r>
            <w:r w:rsidR="000C4A88" w:rsidRPr="0050741C">
              <w:rPr>
                <w:b/>
                <w:i/>
                <w:lang w:val="en-US"/>
              </w:rPr>
              <w:t xml:space="preserve">peration </w:t>
            </w:r>
          </w:p>
        </w:tc>
      </w:tr>
      <w:tr w:rsidR="00FD3D4A" w:rsidRPr="00771A11" w14:paraId="37D72ED1" w14:textId="77777777" w:rsidTr="00A16DE3">
        <w:tc>
          <w:tcPr>
            <w:tcW w:w="2512" w:type="dxa"/>
          </w:tcPr>
          <w:p w14:paraId="013BE6A0" w14:textId="77777777" w:rsidR="00FD3D4A" w:rsidRPr="00771A11" w:rsidRDefault="00FD3D4A" w:rsidP="00901DF3">
            <w:pPr>
              <w:spacing w:line="480" w:lineRule="auto"/>
            </w:pPr>
            <w:r w:rsidRPr="00771A11">
              <w:t>8. Vehicle operation</w:t>
            </w:r>
          </w:p>
        </w:tc>
        <w:tc>
          <w:tcPr>
            <w:tcW w:w="4230" w:type="dxa"/>
          </w:tcPr>
          <w:p w14:paraId="720B292A" w14:textId="77777777" w:rsidR="00FD3D4A" w:rsidRPr="0050741C" w:rsidRDefault="00FD3D4A" w:rsidP="00901DF3">
            <w:pPr>
              <w:spacing w:line="480" w:lineRule="auto"/>
              <w:jc w:val="both"/>
              <w:rPr>
                <w:lang w:val="en-US"/>
              </w:rPr>
            </w:pPr>
            <w:r w:rsidRPr="0050741C">
              <w:rPr>
                <w:lang w:val="en-US"/>
              </w:rPr>
              <w:t>Cost of owning and operating a particular transport mode, including duties and taxes</w:t>
            </w:r>
            <w:r w:rsidR="0035145A" w:rsidRPr="0050741C">
              <w:rPr>
                <w:lang w:val="en-US"/>
              </w:rPr>
              <w:t>, insurance, fuel and vehicle depreciation</w:t>
            </w:r>
          </w:p>
        </w:tc>
        <w:tc>
          <w:tcPr>
            <w:tcW w:w="522" w:type="dxa"/>
          </w:tcPr>
          <w:p w14:paraId="3137346F" w14:textId="77777777" w:rsidR="00FD3D4A" w:rsidRPr="00771A11" w:rsidRDefault="00FD3D4A" w:rsidP="00901DF3">
            <w:pPr>
              <w:spacing w:line="480" w:lineRule="auto"/>
              <w:jc w:val="both"/>
            </w:pPr>
            <w:r w:rsidRPr="00771A11">
              <w:t>X</w:t>
            </w:r>
          </w:p>
        </w:tc>
        <w:tc>
          <w:tcPr>
            <w:tcW w:w="681" w:type="dxa"/>
          </w:tcPr>
          <w:p w14:paraId="2DE3553A" w14:textId="77777777" w:rsidR="00FD3D4A" w:rsidRPr="00771A11" w:rsidRDefault="00FD3D4A" w:rsidP="00901DF3">
            <w:pPr>
              <w:spacing w:line="480" w:lineRule="auto"/>
              <w:jc w:val="both"/>
            </w:pPr>
            <w:r w:rsidRPr="00771A11">
              <w:t>X</w:t>
            </w:r>
          </w:p>
        </w:tc>
        <w:tc>
          <w:tcPr>
            <w:tcW w:w="656" w:type="dxa"/>
          </w:tcPr>
          <w:p w14:paraId="05494FD1" w14:textId="77777777" w:rsidR="00FD3D4A" w:rsidRPr="00771A11" w:rsidRDefault="00FD3D4A" w:rsidP="00901DF3">
            <w:pPr>
              <w:spacing w:line="480" w:lineRule="auto"/>
              <w:jc w:val="both"/>
            </w:pPr>
            <w:r w:rsidRPr="00771A11">
              <w:t>X</w:t>
            </w:r>
          </w:p>
        </w:tc>
        <w:tc>
          <w:tcPr>
            <w:tcW w:w="892" w:type="dxa"/>
          </w:tcPr>
          <w:p w14:paraId="6887ABD0" w14:textId="77777777" w:rsidR="00FD3D4A" w:rsidRPr="00771A11" w:rsidRDefault="00FD3D4A" w:rsidP="00901DF3">
            <w:pPr>
              <w:spacing w:line="480" w:lineRule="auto"/>
              <w:jc w:val="both"/>
            </w:pPr>
            <w:r w:rsidRPr="00771A11">
              <w:t>X</w:t>
            </w:r>
          </w:p>
        </w:tc>
      </w:tr>
      <w:tr w:rsidR="00FD3D4A" w:rsidRPr="00771A11" w14:paraId="46D4D72B" w14:textId="77777777" w:rsidTr="00A16DE3">
        <w:tc>
          <w:tcPr>
            <w:tcW w:w="2512" w:type="dxa"/>
          </w:tcPr>
          <w:p w14:paraId="552BE31D" w14:textId="77777777" w:rsidR="00FD3D4A" w:rsidRPr="00771A11" w:rsidRDefault="00FD3D4A" w:rsidP="00901DF3">
            <w:pPr>
              <w:spacing w:line="480" w:lineRule="auto"/>
            </w:pPr>
            <w:r w:rsidRPr="00771A11">
              <w:t>9. Travel time</w:t>
            </w:r>
          </w:p>
        </w:tc>
        <w:tc>
          <w:tcPr>
            <w:tcW w:w="4230" w:type="dxa"/>
          </w:tcPr>
          <w:p w14:paraId="0FB4AB8D" w14:textId="77777777" w:rsidR="00FD3D4A" w:rsidRPr="0050741C" w:rsidRDefault="00FD3D4A" w:rsidP="00901DF3">
            <w:pPr>
              <w:spacing w:line="480" w:lineRule="auto"/>
              <w:jc w:val="both"/>
              <w:rPr>
                <w:lang w:val="en-US"/>
              </w:rPr>
            </w:pPr>
            <w:r w:rsidRPr="0050741C">
              <w:rPr>
                <w:lang w:val="en-US"/>
              </w:rPr>
              <w:t>The cost of travel time associated with the use of a specific transport mode</w:t>
            </w:r>
          </w:p>
        </w:tc>
        <w:tc>
          <w:tcPr>
            <w:tcW w:w="522" w:type="dxa"/>
          </w:tcPr>
          <w:p w14:paraId="2125F5CC" w14:textId="77777777" w:rsidR="00FD3D4A" w:rsidRPr="00771A11" w:rsidRDefault="00FD3D4A" w:rsidP="00901DF3">
            <w:pPr>
              <w:spacing w:line="480" w:lineRule="auto"/>
              <w:jc w:val="both"/>
            </w:pPr>
            <w:r w:rsidRPr="00771A11">
              <w:t>X</w:t>
            </w:r>
          </w:p>
        </w:tc>
        <w:tc>
          <w:tcPr>
            <w:tcW w:w="681" w:type="dxa"/>
          </w:tcPr>
          <w:p w14:paraId="48536814" w14:textId="77777777" w:rsidR="00FD3D4A" w:rsidRPr="00771A11" w:rsidRDefault="00FD3D4A" w:rsidP="00901DF3">
            <w:pPr>
              <w:spacing w:line="480" w:lineRule="auto"/>
              <w:jc w:val="both"/>
            </w:pPr>
            <w:r w:rsidRPr="00771A11">
              <w:t>X</w:t>
            </w:r>
          </w:p>
        </w:tc>
        <w:tc>
          <w:tcPr>
            <w:tcW w:w="656" w:type="dxa"/>
          </w:tcPr>
          <w:p w14:paraId="42CCA05B" w14:textId="77777777" w:rsidR="00FD3D4A" w:rsidRPr="00771A11" w:rsidRDefault="00FD3D4A" w:rsidP="00901DF3">
            <w:pPr>
              <w:spacing w:line="480" w:lineRule="auto"/>
              <w:jc w:val="both"/>
            </w:pPr>
          </w:p>
        </w:tc>
        <w:tc>
          <w:tcPr>
            <w:tcW w:w="892" w:type="dxa"/>
          </w:tcPr>
          <w:p w14:paraId="3F309BC6" w14:textId="77777777" w:rsidR="00FD3D4A" w:rsidRPr="00771A11" w:rsidRDefault="00FD3D4A" w:rsidP="00901DF3">
            <w:pPr>
              <w:spacing w:line="480" w:lineRule="auto"/>
              <w:jc w:val="both"/>
            </w:pPr>
            <w:r w:rsidRPr="00771A11">
              <w:t>X</w:t>
            </w:r>
          </w:p>
        </w:tc>
      </w:tr>
      <w:tr w:rsidR="00FD3D4A" w:rsidRPr="00771A11" w14:paraId="35E3A9FA" w14:textId="77777777" w:rsidTr="00A16DE3">
        <w:tc>
          <w:tcPr>
            <w:tcW w:w="2512" w:type="dxa"/>
          </w:tcPr>
          <w:p w14:paraId="6E4F5719" w14:textId="77777777" w:rsidR="00FD3D4A" w:rsidRPr="00771A11" w:rsidRDefault="00FD3D4A" w:rsidP="00901DF3">
            <w:pPr>
              <w:spacing w:line="480" w:lineRule="auto"/>
              <w:jc w:val="both"/>
            </w:pPr>
            <w:r w:rsidRPr="00771A11">
              <w:t>10. Congestion</w:t>
            </w:r>
          </w:p>
        </w:tc>
        <w:tc>
          <w:tcPr>
            <w:tcW w:w="4230" w:type="dxa"/>
          </w:tcPr>
          <w:p w14:paraId="74CD490C" w14:textId="7984D915" w:rsidR="00FD3D4A" w:rsidRPr="0050741C" w:rsidRDefault="00FD3D4A" w:rsidP="00901DF3">
            <w:pPr>
              <w:spacing w:line="480" w:lineRule="auto"/>
              <w:jc w:val="both"/>
              <w:rPr>
                <w:lang w:val="en-US"/>
              </w:rPr>
            </w:pPr>
            <w:r w:rsidRPr="0050741C">
              <w:rPr>
                <w:lang w:val="en-US"/>
              </w:rPr>
              <w:t>Cost of roadway congestion imparted on other road users, including</w:t>
            </w:r>
            <w:r w:rsidR="00906175" w:rsidRPr="0050741C">
              <w:rPr>
                <w:lang w:val="en-US"/>
              </w:rPr>
              <w:t xml:space="preserve"> additional</w:t>
            </w:r>
            <w:r w:rsidRPr="0050741C">
              <w:rPr>
                <w:lang w:val="en-US"/>
              </w:rPr>
              <w:t xml:space="preserve"> travel time, operating costs, fuel costs, reliability costs, pollution, climate change, accidents, noise</w:t>
            </w:r>
          </w:p>
        </w:tc>
        <w:tc>
          <w:tcPr>
            <w:tcW w:w="522" w:type="dxa"/>
          </w:tcPr>
          <w:p w14:paraId="02785204" w14:textId="77777777" w:rsidR="00FD3D4A" w:rsidRPr="0050741C" w:rsidRDefault="00FD3D4A" w:rsidP="00901DF3">
            <w:pPr>
              <w:spacing w:line="480" w:lineRule="auto"/>
              <w:jc w:val="both"/>
              <w:rPr>
                <w:lang w:val="en-US"/>
              </w:rPr>
            </w:pPr>
          </w:p>
        </w:tc>
        <w:tc>
          <w:tcPr>
            <w:tcW w:w="681" w:type="dxa"/>
          </w:tcPr>
          <w:p w14:paraId="5CEF1248" w14:textId="77777777" w:rsidR="00FD3D4A" w:rsidRPr="00771A11" w:rsidRDefault="00FD3D4A" w:rsidP="00901DF3">
            <w:pPr>
              <w:spacing w:line="480" w:lineRule="auto"/>
              <w:jc w:val="both"/>
            </w:pPr>
            <w:r w:rsidRPr="00771A11">
              <w:t>X</w:t>
            </w:r>
          </w:p>
        </w:tc>
        <w:tc>
          <w:tcPr>
            <w:tcW w:w="656" w:type="dxa"/>
          </w:tcPr>
          <w:p w14:paraId="5A9D4227" w14:textId="77777777" w:rsidR="00FD3D4A" w:rsidRPr="00771A11" w:rsidRDefault="00FD3D4A" w:rsidP="00901DF3">
            <w:pPr>
              <w:spacing w:line="480" w:lineRule="auto"/>
              <w:jc w:val="both"/>
            </w:pPr>
          </w:p>
        </w:tc>
        <w:tc>
          <w:tcPr>
            <w:tcW w:w="892" w:type="dxa"/>
          </w:tcPr>
          <w:p w14:paraId="5DFFB585" w14:textId="77777777" w:rsidR="00FD3D4A" w:rsidRPr="00771A11" w:rsidRDefault="00FD3D4A" w:rsidP="00901DF3">
            <w:pPr>
              <w:spacing w:line="480" w:lineRule="auto"/>
              <w:jc w:val="both"/>
            </w:pPr>
            <w:r w:rsidRPr="00771A11">
              <w:t>X</w:t>
            </w:r>
          </w:p>
        </w:tc>
      </w:tr>
      <w:tr w:rsidR="00FD3D4A" w:rsidRPr="00CE63EF" w14:paraId="374F6245" w14:textId="77777777" w:rsidTr="00A16DE3">
        <w:tc>
          <w:tcPr>
            <w:tcW w:w="9493" w:type="dxa"/>
            <w:gridSpan w:val="6"/>
          </w:tcPr>
          <w:p w14:paraId="79FC9C8E" w14:textId="77777777" w:rsidR="00FD3D4A" w:rsidRPr="0050741C" w:rsidRDefault="00FD3D4A" w:rsidP="00901DF3">
            <w:pPr>
              <w:spacing w:line="480" w:lineRule="auto"/>
              <w:jc w:val="both"/>
              <w:rPr>
                <w:b/>
                <w:i/>
                <w:lang w:val="en-US"/>
              </w:rPr>
            </w:pPr>
          </w:p>
          <w:p w14:paraId="6B0EF163" w14:textId="77777777" w:rsidR="00FD3D4A" w:rsidRPr="0050741C" w:rsidRDefault="00074789" w:rsidP="00901DF3">
            <w:pPr>
              <w:spacing w:line="480" w:lineRule="auto"/>
              <w:jc w:val="both"/>
              <w:rPr>
                <w:b/>
                <w:i/>
                <w:lang w:val="en-US"/>
              </w:rPr>
            </w:pPr>
            <w:r w:rsidRPr="0050741C">
              <w:rPr>
                <w:b/>
                <w:i/>
                <w:lang w:val="en-US"/>
              </w:rPr>
              <w:t>Health,</w:t>
            </w:r>
            <w:r w:rsidR="00FD3D4A" w:rsidRPr="0050741C">
              <w:rPr>
                <w:b/>
                <w:i/>
                <w:lang w:val="en-US"/>
              </w:rPr>
              <w:t xml:space="preserve"> accidents</w:t>
            </w:r>
            <w:r w:rsidRPr="0050741C">
              <w:rPr>
                <w:b/>
                <w:i/>
                <w:lang w:val="en-US"/>
              </w:rPr>
              <w:t xml:space="preserve"> and perceived comfort</w:t>
            </w:r>
          </w:p>
        </w:tc>
      </w:tr>
      <w:tr w:rsidR="00FD3D4A" w:rsidRPr="00771A11" w14:paraId="3BB79C67" w14:textId="77777777" w:rsidTr="00A16DE3">
        <w:tc>
          <w:tcPr>
            <w:tcW w:w="2512" w:type="dxa"/>
          </w:tcPr>
          <w:p w14:paraId="7B79BBEB" w14:textId="77777777" w:rsidR="00FD3D4A" w:rsidRPr="0050741C" w:rsidRDefault="00FD3D4A" w:rsidP="00901DF3">
            <w:pPr>
              <w:spacing w:line="480" w:lineRule="auto"/>
              <w:rPr>
                <w:lang w:val="en-US"/>
              </w:rPr>
            </w:pPr>
            <w:r w:rsidRPr="0050741C">
              <w:rPr>
                <w:lang w:val="en-US"/>
              </w:rPr>
              <w:t>11. Health benefits (better health, productivity gains and prolonged life)</w:t>
            </w:r>
          </w:p>
        </w:tc>
        <w:tc>
          <w:tcPr>
            <w:tcW w:w="4230" w:type="dxa"/>
          </w:tcPr>
          <w:p w14:paraId="082B11D2" w14:textId="77777777" w:rsidR="00FD3D4A" w:rsidRPr="0050741C" w:rsidRDefault="00FD3D4A" w:rsidP="00901DF3">
            <w:pPr>
              <w:spacing w:line="480" w:lineRule="auto"/>
              <w:jc w:val="both"/>
              <w:rPr>
                <w:lang w:val="en-US"/>
              </w:rPr>
            </w:pPr>
            <w:r w:rsidRPr="0050741C">
              <w:rPr>
                <w:lang w:val="en-US"/>
              </w:rPr>
              <w:t>Savings to the healthcare system as a result of partaking in active transportation; reduction in sick</w:t>
            </w:r>
            <w:r w:rsidR="002A0CE9" w:rsidRPr="0050741C">
              <w:rPr>
                <w:lang w:val="en-US"/>
              </w:rPr>
              <w:t xml:space="preserve"> leave</w:t>
            </w:r>
            <w:r w:rsidRPr="0050741C">
              <w:rPr>
                <w:lang w:val="en-US"/>
              </w:rPr>
              <w:t xml:space="preserve"> days; longer lives.</w:t>
            </w:r>
          </w:p>
        </w:tc>
        <w:tc>
          <w:tcPr>
            <w:tcW w:w="522" w:type="dxa"/>
          </w:tcPr>
          <w:p w14:paraId="77576B0B" w14:textId="77777777" w:rsidR="00FD3D4A" w:rsidRPr="0050741C" w:rsidRDefault="00FD3D4A" w:rsidP="00901DF3">
            <w:pPr>
              <w:spacing w:line="480" w:lineRule="auto"/>
              <w:jc w:val="both"/>
              <w:rPr>
                <w:lang w:val="en-US"/>
              </w:rPr>
            </w:pPr>
          </w:p>
        </w:tc>
        <w:tc>
          <w:tcPr>
            <w:tcW w:w="681" w:type="dxa"/>
          </w:tcPr>
          <w:p w14:paraId="6FB28951" w14:textId="77777777" w:rsidR="00FD3D4A" w:rsidRPr="00771A11" w:rsidRDefault="00FD3D4A" w:rsidP="00901DF3">
            <w:pPr>
              <w:spacing w:line="480" w:lineRule="auto"/>
              <w:jc w:val="both"/>
            </w:pPr>
            <w:r w:rsidRPr="00771A11">
              <w:t>X</w:t>
            </w:r>
          </w:p>
        </w:tc>
        <w:tc>
          <w:tcPr>
            <w:tcW w:w="656" w:type="dxa"/>
          </w:tcPr>
          <w:p w14:paraId="2F4AE03D" w14:textId="77777777" w:rsidR="00FD3D4A" w:rsidRPr="00771A11" w:rsidRDefault="00FD3D4A" w:rsidP="00901DF3">
            <w:pPr>
              <w:spacing w:line="480" w:lineRule="auto"/>
              <w:jc w:val="both"/>
            </w:pPr>
            <w:r w:rsidRPr="00771A11">
              <w:t>X</w:t>
            </w:r>
          </w:p>
        </w:tc>
        <w:tc>
          <w:tcPr>
            <w:tcW w:w="892" w:type="dxa"/>
          </w:tcPr>
          <w:p w14:paraId="668948B8" w14:textId="77777777" w:rsidR="00FD3D4A" w:rsidRPr="00771A11" w:rsidRDefault="00FD3D4A" w:rsidP="00901DF3">
            <w:pPr>
              <w:spacing w:line="480" w:lineRule="auto"/>
              <w:jc w:val="both"/>
            </w:pPr>
            <w:r w:rsidRPr="00771A11">
              <w:t>X</w:t>
            </w:r>
          </w:p>
        </w:tc>
      </w:tr>
      <w:tr w:rsidR="00FD3D4A" w:rsidRPr="00771A11" w14:paraId="7DB41041" w14:textId="77777777" w:rsidTr="00A16DE3">
        <w:tc>
          <w:tcPr>
            <w:tcW w:w="2512" w:type="dxa"/>
          </w:tcPr>
          <w:p w14:paraId="0DF7E1EE" w14:textId="663974CE" w:rsidR="00FD3D4A" w:rsidRPr="00771A11" w:rsidRDefault="003440DE" w:rsidP="00901DF3">
            <w:pPr>
              <w:spacing w:line="480" w:lineRule="auto"/>
            </w:pPr>
            <w:r>
              <w:t>12. Accidents (collisions</w:t>
            </w:r>
            <w:r w:rsidR="004C7D3E">
              <w:t>)</w:t>
            </w:r>
          </w:p>
        </w:tc>
        <w:tc>
          <w:tcPr>
            <w:tcW w:w="4230" w:type="dxa"/>
          </w:tcPr>
          <w:p w14:paraId="79A31803" w14:textId="77777777" w:rsidR="00FD3D4A" w:rsidRPr="00771A11" w:rsidRDefault="00FD3D4A" w:rsidP="00901DF3">
            <w:pPr>
              <w:spacing w:line="480" w:lineRule="auto"/>
              <w:jc w:val="both"/>
            </w:pPr>
            <w:r w:rsidRPr="0050741C">
              <w:rPr>
                <w:lang w:val="en-US"/>
              </w:rPr>
              <w:t xml:space="preserve">The costs of minor and major injuries, and fatalities, </w:t>
            </w:r>
            <w:r w:rsidR="008C0C6F" w:rsidRPr="0050741C">
              <w:rPr>
                <w:lang w:val="en-US"/>
              </w:rPr>
              <w:t xml:space="preserve">attributed to medical expenses, </w:t>
            </w:r>
            <w:r w:rsidRPr="0050741C">
              <w:rPr>
                <w:lang w:val="en-US"/>
              </w:rPr>
              <w:t>pain and suffering, loss of life</w:t>
            </w:r>
            <w:r w:rsidR="00937AD9" w:rsidRPr="0050741C">
              <w:rPr>
                <w:lang w:val="en-US"/>
              </w:rPr>
              <w:t>.</w:t>
            </w:r>
            <w:r w:rsidR="004C7D3E" w:rsidRPr="0050741C">
              <w:rPr>
                <w:lang w:val="en-US"/>
              </w:rPr>
              <w:t xml:space="preserve"> </w:t>
            </w:r>
            <w:r w:rsidR="004C7D3E" w:rsidRPr="00771A11">
              <w:t>Material damage associated with car accidents</w:t>
            </w:r>
          </w:p>
        </w:tc>
        <w:tc>
          <w:tcPr>
            <w:tcW w:w="522" w:type="dxa"/>
          </w:tcPr>
          <w:p w14:paraId="00DD1FE8" w14:textId="77777777" w:rsidR="00FD3D4A" w:rsidRPr="00771A11" w:rsidRDefault="00FD3D4A" w:rsidP="00901DF3">
            <w:pPr>
              <w:spacing w:line="480" w:lineRule="auto"/>
              <w:jc w:val="both"/>
            </w:pPr>
            <w:r w:rsidRPr="00771A11">
              <w:t>X</w:t>
            </w:r>
          </w:p>
        </w:tc>
        <w:tc>
          <w:tcPr>
            <w:tcW w:w="681" w:type="dxa"/>
          </w:tcPr>
          <w:p w14:paraId="3E1DC1A7" w14:textId="77777777" w:rsidR="00FD3D4A" w:rsidRPr="00771A11" w:rsidRDefault="00FD3D4A" w:rsidP="00901DF3">
            <w:pPr>
              <w:spacing w:line="480" w:lineRule="auto"/>
              <w:jc w:val="both"/>
            </w:pPr>
            <w:r w:rsidRPr="00771A11">
              <w:t>X</w:t>
            </w:r>
          </w:p>
        </w:tc>
        <w:tc>
          <w:tcPr>
            <w:tcW w:w="656" w:type="dxa"/>
          </w:tcPr>
          <w:p w14:paraId="169AEA41" w14:textId="77777777" w:rsidR="00FD3D4A" w:rsidRPr="00771A11" w:rsidRDefault="00FD3D4A" w:rsidP="00901DF3">
            <w:pPr>
              <w:spacing w:line="480" w:lineRule="auto"/>
              <w:jc w:val="both"/>
            </w:pPr>
            <w:r w:rsidRPr="00771A11">
              <w:t>X</w:t>
            </w:r>
          </w:p>
        </w:tc>
        <w:tc>
          <w:tcPr>
            <w:tcW w:w="892" w:type="dxa"/>
          </w:tcPr>
          <w:p w14:paraId="50198299" w14:textId="77777777" w:rsidR="00FD3D4A" w:rsidRPr="00771A11" w:rsidRDefault="00FD3D4A" w:rsidP="00901DF3">
            <w:pPr>
              <w:spacing w:line="480" w:lineRule="auto"/>
              <w:jc w:val="both"/>
            </w:pPr>
            <w:r w:rsidRPr="00771A11">
              <w:t>X</w:t>
            </w:r>
          </w:p>
        </w:tc>
      </w:tr>
      <w:tr w:rsidR="00FD3D4A" w:rsidRPr="00771A11" w14:paraId="4CE53568" w14:textId="77777777" w:rsidTr="00A16DE3">
        <w:tc>
          <w:tcPr>
            <w:tcW w:w="2512" w:type="dxa"/>
          </w:tcPr>
          <w:p w14:paraId="7FE0844C" w14:textId="77777777" w:rsidR="00FD3D4A" w:rsidRPr="00771A11" w:rsidRDefault="004C7D3E" w:rsidP="00901DF3">
            <w:pPr>
              <w:spacing w:line="480" w:lineRule="auto"/>
            </w:pPr>
            <w:r>
              <w:t>1</w:t>
            </w:r>
            <w:r w:rsidR="00B7508B">
              <w:t>3</w:t>
            </w:r>
            <w:r w:rsidR="00FD3D4A" w:rsidRPr="00771A11">
              <w:t xml:space="preserve">. </w:t>
            </w:r>
            <w:r w:rsidR="00B7508B" w:rsidRPr="00771A11">
              <w:t xml:space="preserve">Perceived safety </w:t>
            </w:r>
            <w:r w:rsidR="00B7508B">
              <w:t xml:space="preserve">&amp; </w:t>
            </w:r>
            <w:r w:rsidR="00FD3D4A" w:rsidRPr="00771A11">
              <w:t>Discomfort</w:t>
            </w:r>
          </w:p>
        </w:tc>
        <w:tc>
          <w:tcPr>
            <w:tcW w:w="4230" w:type="dxa"/>
          </w:tcPr>
          <w:p w14:paraId="63404D05" w14:textId="77777777" w:rsidR="00FD3D4A" w:rsidRPr="0050741C" w:rsidRDefault="00B7508B" w:rsidP="00901DF3">
            <w:pPr>
              <w:spacing w:line="480" w:lineRule="auto"/>
              <w:jc w:val="both"/>
              <w:rPr>
                <w:lang w:val="en-US"/>
              </w:rPr>
            </w:pPr>
            <w:r w:rsidRPr="0050741C">
              <w:rPr>
                <w:lang w:val="en-US"/>
              </w:rPr>
              <w:t>Perceived accident risks in traffic as a result of exposure</w:t>
            </w:r>
            <w:r w:rsidR="00074789" w:rsidRPr="0050741C">
              <w:rPr>
                <w:lang w:val="en-US"/>
              </w:rPr>
              <w:t xml:space="preserve"> to motorized traffic</w:t>
            </w:r>
            <w:r w:rsidRPr="0050741C">
              <w:rPr>
                <w:lang w:val="en-US"/>
              </w:rPr>
              <w:t xml:space="preserve">; </w:t>
            </w:r>
            <w:r w:rsidR="00074789" w:rsidRPr="0050741C">
              <w:rPr>
                <w:lang w:val="en-US"/>
              </w:rPr>
              <w:t xml:space="preserve">discomfort because of </w:t>
            </w:r>
            <w:r w:rsidRPr="0050741C">
              <w:rPr>
                <w:lang w:val="en-US"/>
              </w:rPr>
              <w:t>e</w:t>
            </w:r>
            <w:r w:rsidR="00FD3D4A" w:rsidRPr="0050741C">
              <w:rPr>
                <w:lang w:val="en-US"/>
              </w:rPr>
              <w:t>xposure to exhaust fumes</w:t>
            </w:r>
          </w:p>
        </w:tc>
        <w:tc>
          <w:tcPr>
            <w:tcW w:w="522" w:type="dxa"/>
          </w:tcPr>
          <w:p w14:paraId="34D7AAEF" w14:textId="77777777" w:rsidR="00FD3D4A" w:rsidRPr="0050741C" w:rsidRDefault="00FD3D4A" w:rsidP="00901DF3">
            <w:pPr>
              <w:spacing w:line="480" w:lineRule="auto"/>
              <w:jc w:val="both"/>
              <w:rPr>
                <w:lang w:val="en-US"/>
              </w:rPr>
            </w:pPr>
          </w:p>
        </w:tc>
        <w:tc>
          <w:tcPr>
            <w:tcW w:w="681" w:type="dxa"/>
          </w:tcPr>
          <w:p w14:paraId="50C55ECD" w14:textId="77777777" w:rsidR="00FD3D4A" w:rsidRPr="0050741C" w:rsidRDefault="00FD3D4A" w:rsidP="00901DF3">
            <w:pPr>
              <w:spacing w:line="480" w:lineRule="auto"/>
              <w:jc w:val="both"/>
              <w:rPr>
                <w:lang w:val="en-US"/>
              </w:rPr>
            </w:pPr>
          </w:p>
        </w:tc>
        <w:tc>
          <w:tcPr>
            <w:tcW w:w="656" w:type="dxa"/>
          </w:tcPr>
          <w:p w14:paraId="3ED2BF5B" w14:textId="77777777" w:rsidR="00FD3D4A" w:rsidRPr="00771A11" w:rsidRDefault="00FD3D4A" w:rsidP="00901DF3">
            <w:pPr>
              <w:spacing w:line="480" w:lineRule="auto"/>
              <w:jc w:val="both"/>
            </w:pPr>
            <w:r w:rsidRPr="00771A11">
              <w:t>X</w:t>
            </w:r>
          </w:p>
        </w:tc>
        <w:tc>
          <w:tcPr>
            <w:tcW w:w="892" w:type="dxa"/>
          </w:tcPr>
          <w:p w14:paraId="3603DA94" w14:textId="77777777" w:rsidR="00FD3D4A" w:rsidRPr="00771A11" w:rsidRDefault="00FD3D4A" w:rsidP="00901DF3">
            <w:pPr>
              <w:spacing w:line="480" w:lineRule="auto"/>
              <w:jc w:val="both"/>
            </w:pPr>
          </w:p>
        </w:tc>
      </w:tr>
      <w:tr w:rsidR="00FD3D4A" w:rsidRPr="00CE63EF" w14:paraId="71B7E845" w14:textId="77777777" w:rsidTr="00A16DE3">
        <w:trPr>
          <w:trHeight w:val="279"/>
        </w:trPr>
        <w:tc>
          <w:tcPr>
            <w:tcW w:w="9493" w:type="dxa"/>
            <w:gridSpan w:val="6"/>
          </w:tcPr>
          <w:p w14:paraId="103EC83A" w14:textId="77777777" w:rsidR="00FD3D4A" w:rsidRPr="0050741C" w:rsidRDefault="00FD3D4A" w:rsidP="00901DF3">
            <w:pPr>
              <w:spacing w:line="480" w:lineRule="auto"/>
              <w:jc w:val="both"/>
              <w:rPr>
                <w:b/>
                <w:i/>
                <w:lang w:val="en-US"/>
              </w:rPr>
            </w:pPr>
          </w:p>
          <w:p w14:paraId="53940CB2" w14:textId="77777777" w:rsidR="00FD3D4A" w:rsidRPr="0050741C" w:rsidRDefault="00FD3D4A" w:rsidP="00901DF3">
            <w:pPr>
              <w:spacing w:line="480" w:lineRule="auto"/>
              <w:jc w:val="both"/>
              <w:rPr>
                <w:b/>
                <w:i/>
                <w:lang w:val="en-US"/>
              </w:rPr>
            </w:pPr>
            <w:r w:rsidRPr="0050741C">
              <w:rPr>
                <w:b/>
                <w:i/>
                <w:lang w:val="en-US"/>
              </w:rPr>
              <w:lastRenderedPageBreak/>
              <w:t>Quality of life, tourism and infrastructure</w:t>
            </w:r>
          </w:p>
        </w:tc>
      </w:tr>
      <w:tr w:rsidR="00FD3D4A" w:rsidRPr="00771A11" w14:paraId="20CF40DE" w14:textId="77777777" w:rsidTr="00A16DE3">
        <w:tc>
          <w:tcPr>
            <w:tcW w:w="2512" w:type="dxa"/>
          </w:tcPr>
          <w:p w14:paraId="37569694" w14:textId="77777777" w:rsidR="00FD3D4A" w:rsidRPr="0050741C" w:rsidRDefault="004C7D3E" w:rsidP="00901DF3">
            <w:pPr>
              <w:spacing w:line="480" w:lineRule="auto"/>
              <w:rPr>
                <w:lang w:val="en-US"/>
              </w:rPr>
            </w:pPr>
            <w:r w:rsidRPr="0050741C">
              <w:rPr>
                <w:lang w:val="en-US"/>
              </w:rPr>
              <w:lastRenderedPageBreak/>
              <w:t>1</w:t>
            </w:r>
            <w:r w:rsidR="00B7508B" w:rsidRPr="0050741C">
              <w:rPr>
                <w:lang w:val="en-US"/>
              </w:rPr>
              <w:t>4</w:t>
            </w:r>
            <w:r w:rsidR="00FD3D4A" w:rsidRPr="0050741C">
              <w:rPr>
                <w:lang w:val="en-US"/>
              </w:rPr>
              <w:t>. Quality of life, branding and tourism</w:t>
            </w:r>
          </w:p>
        </w:tc>
        <w:tc>
          <w:tcPr>
            <w:tcW w:w="4230" w:type="dxa"/>
          </w:tcPr>
          <w:p w14:paraId="0FDB7AD1" w14:textId="77777777" w:rsidR="00FD3D4A" w:rsidRPr="0050741C" w:rsidRDefault="00FD3D4A" w:rsidP="00901DF3">
            <w:pPr>
              <w:spacing w:line="480" w:lineRule="auto"/>
              <w:jc w:val="both"/>
              <w:rPr>
                <w:lang w:val="en-US"/>
              </w:rPr>
            </w:pPr>
            <w:r w:rsidRPr="0050741C">
              <w:rPr>
                <w:lang w:val="en-US"/>
              </w:rPr>
              <w:t>Value derived from being considered a progressive city with a high quality of life; value of open spaces for tourism</w:t>
            </w:r>
          </w:p>
        </w:tc>
        <w:tc>
          <w:tcPr>
            <w:tcW w:w="522" w:type="dxa"/>
          </w:tcPr>
          <w:p w14:paraId="72036F9A" w14:textId="77777777" w:rsidR="00FD3D4A" w:rsidRPr="0050741C" w:rsidRDefault="00FD3D4A" w:rsidP="00901DF3">
            <w:pPr>
              <w:spacing w:line="480" w:lineRule="auto"/>
              <w:jc w:val="both"/>
              <w:rPr>
                <w:lang w:val="en-US"/>
              </w:rPr>
            </w:pPr>
          </w:p>
        </w:tc>
        <w:tc>
          <w:tcPr>
            <w:tcW w:w="681" w:type="dxa"/>
          </w:tcPr>
          <w:p w14:paraId="08DD5252" w14:textId="77777777" w:rsidR="00FD3D4A" w:rsidRPr="00771A11" w:rsidRDefault="00FD3D4A" w:rsidP="00901DF3">
            <w:pPr>
              <w:spacing w:line="480" w:lineRule="auto"/>
              <w:jc w:val="both"/>
            </w:pPr>
            <w:r w:rsidRPr="00771A11">
              <w:t>X</w:t>
            </w:r>
          </w:p>
        </w:tc>
        <w:tc>
          <w:tcPr>
            <w:tcW w:w="656" w:type="dxa"/>
          </w:tcPr>
          <w:p w14:paraId="2DABD281" w14:textId="77777777" w:rsidR="00FD3D4A" w:rsidRPr="00771A11" w:rsidRDefault="00FD3D4A" w:rsidP="00901DF3">
            <w:pPr>
              <w:spacing w:line="480" w:lineRule="auto"/>
              <w:jc w:val="both"/>
            </w:pPr>
          </w:p>
        </w:tc>
        <w:tc>
          <w:tcPr>
            <w:tcW w:w="892" w:type="dxa"/>
          </w:tcPr>
          <w:p w14:paraId="33B779FA" w14:textId="77777777" w:rsidR="00FD3D4A" w:rsidRPr="00771A11" w:rsidRDefault="00FD3D4A" w:rsidP="00901DF3">
            <w:pPr>
              <w:spacing w:line="480" w:lineRule="auto"/>
              <w:jc w:val="both"/>
            </w:pPr>
          </w:p>
        </w:tc>
      </w:tr>
    </w:tbl>
    <w:p w14:paraId="49F83E58" w14:textId="77777777" w:rsidR="00263148" w:rsidRPr="00A16DE3" w:rsidRDefault="00A763C2" w:rsidP="00901DF3">
      <w:pPr>
        <w:spacing w:line="480" w:lineRule="auto"/>
        <w:jc w:val="both"/>
        <w:rPr>
          <w:sz w:val="20"/>
          <w:szCs w:val="20"/>
          <w:lang w:val="en-US"/>
        </w:rPr>
      </w:pPr>
      <w:r w:rsidRPr="00A16DE3">
        <w:rPr>
          <w:sz w:val="20"/>
          <w:szCs w:val="20"/>
          <w:lang w:val="en-US"/>
        </w:rPr>
        <w:t xml:space="preserve">X: considered in </w:t>
      </w:r>
      <w:r w:rsidR="00E51934" w:rsidRPr="00A16DE3">
        <w:rPr>
          <w:sz w:val="20"/>
          <w:szCs w:val="20"/>
          <w:lang w:val="en-US"/>
        </w:rPr>
        <w:t xml:space="preserve">respective </w:t>
      </w:r>
      <w:r w:rsidRPr="00A16DE3">
        <w:rPr>
          <w:sz w:val="20"/>
          <w:szCs w:val="20"/>
          <w:lang w:val="en-US"/>
        </w:rPr>
        <w:t>study</w:t>
      </w:r>
    </w:p>
    <w:p w14:paraId="537C8A90" w14:textId="037A5F35" w:rsidR="00EC4216" w:rsidRPr="0050741C" w:rsidRDefault="00EC4216" w:rsidP="00901DF3">
      <w:pPr>
        <w:spacing w:line="480" w:lineRule="auto"/>
        <w:jc w:val="both"/>
        <w:rPr>
          <w:lang w:val="en-US"/>
        </w:rPr>
      </w:pPr>
      <w:r w:rsidRPr="0050741C">
        <w:rPr>
          <w:lang w:val="en-US"/>
        </w:rPr>
        <w:t>Source:</w:t>
      </w:r>
      <w:r w:rsidR="006308FE" w:rsidRPr="0050741C">
        <w:rPr>
          <w:lang w:val="en-US"/>
        </w:rPr>
        <w:t xml:space="preserve"> </w:t>
      </w:r>
      <w:r w:rsidRPr="0050741C">
        <w:rPr>
          <w:lang w:val="en-US"/>
        </w:rPr>
        <w:t xml:space="preserve">COWI and </w:t>
      </w:r>
      <w:r w:rsidR="005656DA" w:rsidRPr="0050741C">
        <w:rPr>
          <w:lang w:val="en-US"/>
        </w:rPr>
        <w:t>City of Copenhagen</w:t>
      </w:r>
      <w:r w:rsidRPr="0050741C">
        <w:rPr>
          <w:lang w:val="en-US"/>
        </w:rPr>
        <w:t xml:space="preserve"> 200</w:t>
      </w:r>
      <w:r w:rsidR="00DC35D1" w:rsidRPr="0050741C">
        <w:rPr>
          <w:lang w:val="en-US"/>
        </w:rPr>
        <w:t>9</w:t>
      </w:r>
      <w:r w:rsidR="00A16DE3">
        <w:rPr>
          <w:lang w:val="en-US"/>
        </w:rPr>
        <w:t xml:space="preserve"> (‘CPH’ in Table 1)</w:t>
      </w:r>
      <w:r w:rsidRPr="0050741C">
        <w:rPr>
          <w:lang w:val="en-US"/>
        </w:rPr>
        <w:t>; EC 2014</w:t>
      </w:r>
      <w:r w:rsidR="00A16DE3">
        <w:rPr>
          <w:lang w:val="en-US"/>
        </w:rPr>
        <w:t xml:space="preserve"> (EC)</w:t>
      </w:r>
      <w:r w:rsidRPr="0050741C">
        <w:rPr>
          <w:lang w:val="en-US"/>
        </w:rPr>
        <w:t>; ECF 2016</w:t>
      </w:r>
      <w:r w:rsidR="00A16DE3">
        <w:rPr>
          <w:lang w:val="en-US"/>
        </w:rPr>
        <w:t xml:space="preserve"> (ECF)</w:t>
      </w:r>
      <w:r w:rsidR="006308FE" w:rsidRPr="0050741C">
        <w:rPr>
          <w:lang w:val="en-US"/>
        </w:rPr>
        <w:t xml:space="preserve">; </w:t>
      </w:r>
      <w:r w:rsidR="00841824">
        <w:rPr>
          <w:lang w:val="en-US"/>
        </w:rPr>
        <w:t>Litman and Doherty</w:t>
      </w:r>
      <w:r w:rsidR="006308FE" w:rsidRPr="0050741C">
        <w:rPr>
          <w:lang w:val="en-US"/>
        </w:rPr>
        <w:t xml:space="preserve"> 201</w:t>
      </w:r>
      <w:r w:rsidR="00841824">
        <w:rPr>
          <w:lang w:val="en-US"/>
        </w:rPr>
        <w:t>1</w:t>
      </w:r>
      <w:r w:rsidR="00A16DE3">
        <w:rPr>
          <w:lang w:val="en-US"/>
        </w:rPr>
        <w:t xml:space="preserve"> (VTPI)</w:t>
      </w:r>
      <w:r w:rsidR="006308FE" w:rsidRPr="0050741C">
        <w:rPr>
          <w:lang w:val="en-US"/>
        </w:rPr>
        <w:t>.</w:t>
      </w:r>
    </w:p>
    <w:p w14:paraId="6BDC92EC" w14:textId="77777777" w:rsidR="00181C7C" w:rsidRPr="0050741C" w:rsidRDefault="00181C7C" w:rsidP="00901DF3">
      <w:pPr>
        <w:spacing w:line="480" w:lineRule="auto"/>
        <w:jc w:val="both"/>
        <w:rPr>
          <w:lang w:val="en-US"/>
        </w:rPr>
      </w:pPr>
    </w:p>
    <w:p w14:paraId="07FD550F" w14:textId="189689C1" w:rsidR="00DA35ED" w:rsidRPr="0050741C" w:rsidRDefault="00EF704C" w:rsidP="00901DF3">
      <w:pPr>
        <w:spacing w:line="480" w:lineRule="auto"/>
        <w:outlineLvl w:val="0"/>
        <w:rPr>
          <w:i/>
          <w:lang w:val="en-US"/>
        </w:rPr>
      </w:pPr>
      <w:r w:rsidRPr="0050741C">
        <w:rPr>
          <w:i/>
          <w:lang w:val="en-US"/>
        </w:rPr>
        <w:t>1</w:t>
      </w:r>
      <w:r w:rsidR="00FD3D4A" w:rsidRPr="0050741C">
        <w:rPr>
          <w:i/>
          <w:lang w:val="en-US"/>
        </w:rPr>
        <w:t>.</w:t>
      </w:r>
      <w:r w:rsidRPr="0050741C">
        <w:rPr>
          <w:i/>
          <w:lang w:val="en-US"/>
        </w:rPr>
        <w:t>1</w:t>
      </w:r>
      <w:r w:rsidR="00FD3D4A" w:rsidRPr="0050741C">
        <w:rPr>
          <w:i/>
          <w:lang w:val="en-US"/>
        </w:rPr>
        <w:t xml:space="preserve"> </w:t>
      </w:r>
      <w:r w:rsidR="00DA35ED" w:rsidRPr="0050741C">
        <w:rPr>
          <w:i/>
          <w:lang w:val="en-US"/>
        </w:rPr>
        <w:t>Climate change</w:t>
      </w:r>
    </w:p>
    <w:p w14:paraId="114B3A16" w14:textId="65B03488" w:rsidR="00B9796A" w:rsidRPr="0050741C" w:rsidRDefault="00DA35ED" w:rsidP="00901DF3">
      <w:pPr>
        <w:spacing w:line="480" w:lineRule="auto"/>
        <w:jc w:val="both"/>
        <w:rPr>
          <w:lang w:val="en-US"/>
        </w:rPr>
      </w:pPr>
      <w:r w:rsidRPr="0050741C">
        <w:rPr>
          <w:lang w:val="en-US"/>
        </w:rPr>
        <w:t>C</w:t>
      </w:r>
      <w:r w:rsidR="000E440C" w:rsidRPr="0050741C">
        <w:rPr>
          <w:lang w:val="en-US"/>
        </w:rPr>
        <w:t xml:space="preserve">limate change is a result of greenhouse gas emissions, of which </w:t>
      </w:r>
      <w:r w:rsidR="00D92176" w:rsidRPr="0050741C">
        <w:rPr>
          <w:lang w:val="en-US"/>
        </w:rPr>
        <w:t>CO</w:t>
      </w:r>
      <w:r w:rsidR="00D92176" w:rsidRPr="0050741C">
        <w:rPr>
          <w:vertAlign w:val="subscript"/>
          <w:lang w:val="en-US"/>
        </w:rPr>
        <w:t>2</w:t>
      </w:r>
      <w:r w:rsidR="00D92176" w:rsidRPr="0050741C">
        <w:rPr>
          <w:lang w:val="en-US"/>
        </w:rPr>
        <w:t xml:space="preserve"> is the most important</w:t>
      </w:r>
      <w:r w:rsidR="000E440C" w:rsidRPr="0050741C">
        <w:rPr>
          <w:lang w:val="en-US"/>
        </w:rPr>
        <w:t xml:space="preserve"> in road transport contexts</w:t>
      </w:r>
      <w:r w:rsidRPr="0050741C">
        <w:rPr>
          <w:lang w:val="en-US"/>
        </w:rPr>
        <w:t xml:space="preserve">. </w:t>
      </w:r>
      <w:r w:rsidR="000172EA" w:rsidRPr="0050741C">
        <w:rPr>
          <w:lang w:val="en-US"/>
        </w:rPr>
        <w:t>Transportation requires 27% of final global energy use, corresponding to emissions of 6.7 GtCO</w:t>
      </w:r>
      <w:r w:rsidR="000172EA" w:rsidRPr="0050741C">
        <w:rPr>
          <w:vertAlign w:val="subscript"/>
          <w:lang w:val="en-US"/>
        </w:rPr>
        <w:t>2</w:t>
      </w:r>
      <w:r w:rsidR="000E440C" w:rsidRPr="0050741C">
        <w:rPr>
          <w:lang w:val="en-US"/>
        </w:rPr>
        <w:t xml:space="preserve"> </w:t>
      </w:r>
      <w:r w:rsidR="007C7AF7" w:rsidRPr="0050741C">
        <w:rPr>
          <w:lang w:val="en-US"/>
        </w:rPr>
        <w:t>or 7 GtCO</w:t>
      </w:r>
      <w:r w:rsidR="007C7AF7" w:rsidRPr="0050741C">
        <w:rPr>
          <w:vertAlign w:val="subscript"/>
          <w:lang w:val="en-US"/>
        </w:rPr>
        <w:t>2</w:t>
      </w:r>
      <w:r w:rsidR="007C7AF7" w:rsidRPr="0050741C">
        <w:rPr>
          <w:lang w:val="en-US"/>
        </w:rPr>
        <w:t xml:space="preserve">-eqivalent </w:t>
      </w:r>
      <w:r w:rsidR="000E440C" w:rsidRPr="0050741C">
        <w:rPr>
          <w:lang w:val="en-US"/>
        </w:rPr>
        <w:t xml:space="preserve">in 2010. </w:t>
      </w:r>
      <w:r w:rsidR="007C7AF7" w:rsidRPr="0050741C">
        <w:rPr>
          <w:lang w:val="en-US"/>
        </w:rPr>
        <w:t xml:space="preserve">By 2050, </w:t>
      </w:r>
      <w:r w:rsidR="00185CA3">
        <w:rPr>
          <w:lang w:val="en-US"/>
        </w:rPr>
        <w:t>transportation</w:t>
      </w:r>
      <w:r w:rsidR="007C7AF7" w:rsidRPr="0050741C">
        <w:rPr>
          <w:lang w:val="en-US"/>
        </w:rPr>
        <w:t xml:space="preserve"> is expected to emit 12 GtCO</w:t>
      </w:r>
      <w:r w:rsidR="007C7AF7" w:rsidRPr="0050741C">
        <w:rPr>
          <w:vertAlign w:val="subscript"/>
          <w:lang w:val="en-US"/>
        </w:rPr>
        <w:t>2</w:t>
      </w:r>
      <w:r w:rsidR="007C7AF7" w:rsidRPr="0050741C">
        <w:rPr>
          <w:lang w:val="en-US"/>
        </w:rPr>
        <w:t>eq per year</w:t>
      </w:r>
      <w:r w:rsidR="00651357" w:rsidRPr="0050741C">
        <w:rPr>
          <w:lang w:val="en-US"/>
        </w:rPr>
        <w:t xml:space="preserve"> </w:t>
      </w:r>
      <w:r w:rsidR="007C7AF7" w:rsidRPr="0050741C">
        <w:rPr>
          <w:lang w:val="en-US"/>
        </w:rPr>
        <w:t>(</w:t>
      </w:r>
      <w:r w:rsidR="00E40CFC" w:rsidRPr="0050741C">
        <w:rPr>
          <w:lang w:val="en-US"/>
        </w:rPr>
        <w:t>IPCC</w:t>
      </w:r>
      <w:r w:rsidR="007C7AF7" w:rsidRPr="0050741C">
        <w:rPr>
          <w:lang w:val="en-US"/>
        </w:rPr>
        <w:t xml:space="preserve"> 2014)</w:t>
      </w:r>
      <w:r w:rsidR="00651357" w:rsidRPr="0050741C">
        <w:rPr>
          <w:lang w:val="en-US"/>
        </w:rPr>
        <w:t>; i.e., the sector</w:t>
      </w:r>
      <w:r w:rsidR="00185CA3">
        <w:rPr>
          <w:lang w:val="en-US"/>
        </w:rPr>
        <w:t xml:space="preserve"> will increasingly</w:t>
      </w:r>
      <w:r w:rsidR="00E76DA5" w:rsidRPr="0050741C">
        <w:rPr>
          <w:lang w:val="en-US"/>
        </w:rPr>
        <w:t xml:space="preserve"> interfere with </w:t>
      </w:r>
      <w:r w:rsidR="00651357" w:rsidRPr="0050741C">
        <w:rPr>
          <w:lang w:val="en-US"/>
        </w:rPr>
        <w:t>mitigation objectives (</w:t>
      </w:r>
      <w:r w:rsidR="00AC2505" w:rsidRPr="0050741C">
        <w:rPr>
          <w:lang w:val="en-US"/>
        </w:rPr>
        <w:t>UNFCCC 2015</w:t>
      </w:r>
      <w:r w:rsidR="00651357" w:rsidRPr="0050741C">
        <w:rPr>
          <w:lang w:val="en-US"/>
        </w:rPr>
        <w:t>)</w:t>
      </w:r>
      <w:r w:rsidR="007C7AF7" w:rsidRPr="0050741C">
        <w:rPr>
          <w:lang w:val="en-US"/>
        </w:rPr>
        <w:t xml:space="preserve">. </w:t>
      </w:r>
      <w:r w:rsidR="000E440C" w:rsidRPr="0050741C">
        <w:rPr>
          <w:lang w:val="en-US"/>
        </w:rPr>
        <w:t>Climate change is expected to cause significant economic damage (Stern 2006).</w:t>
      </w:r>
      <w:r w:rsidR="00D94D98" w:rsidRPr="0050741C">
        <w:rPr>
          <w:lang w:val="en-US"/>
        </w:rPr>
        <w:t xml:space="preserve"> </w:t>
      </w:r>
      <w:r w:rsidR="00651357" w:rsidRPr="0050741C">
        <w:rPr>
          <w:lang w:val="en-US"/>
        </w:rPr>
        <w:t>In CBA, u</w:t>
      </w:r>
      <w:r w:rsidR="00D94D98" w:rsidRPr="0050741C">
        <w:rPr>
          <w:lang w:val="en-US"/>
        </w:rPr>
        <w:t>nit costs for CO</w:t>
      </w:r>
      <w:r w:rsidR="00D94D98" w:rsidRPr="0050741C">
        <w:rPr>
          <w:vertAlign w:val="subscript"/>
          <w:lang w:val="en-US"/>
        </w:rPr>
        <w:t>2</w:t>
      </w:r>
      <w:r w:rsidR="00651357" w:rsidRPr="0050741C">
        <w:rPr>
          <w:lang w:val="en-US"/>
        </w:rPr>
        <w:t xml:space="preserve"> have been based </w:t>
      </w:r>
      <w:r w:rsidR="00D94D98" w:rsidRPr="0050741C">
        <w:rPr>
          <w:lang w:val="en-US"/>
        </w:rPr>
        <w:t>on the market value of the trade in CO</w:t>
      </w:r>
      <w:r w:rsidR="00D94D98" w:rsidRPr="0050741C">
        <w:rPr>
          <w:vertAlign w:val="subscript"/>
          <w:lang w:val="en-US"/>
        </w:rPr>
        <w:t>2</w:t>
      </w:r>
      <w:r w:rsidR="00D4430B" w:rsidRPr="0050741C">
        <w:rPr>
          <w:lang w:val="en-US"/>
        </w:rPr>
        <w:t xml:space="preserve">, which </w:t>
      </w:r>
      <w:r w:rsidR="00D94D98" w:rsidRPr="0050741C">
        <w:rPr>
          <w:lang w:val="en-US"/>
        </w:rPr>
        <w:t xml:space="preserve">reflect </w:t>
      </w:r>
      <w:r w:rsidRPr="0050741C">
        <w:rPr>
          <w:lang w:val="en-US"/>
        </w:rPr>
        <w:t>willingness-to-pay by business</w:t>
      </w:r>
      <w:r w:rsidR="00D94D98" w:rsidRPr="0050741C">
        <w:rPr>
          <w:lang w:val="en-US"/>
        </w:rPr>
        <w:t>es</w:t>
      </w:r>
      <w:r w:rsidRPr="0050741C">
        <w:rPr>
          <w:lang w:val="en-US"/>
        </w:rPr>
        <w:t xml:space="preserve"> in light of </w:t>
      </w:r>
      <w:r w:rsidR="00D94D98" w:rsidRPr="0050741C">
        <w:rPr>
          <w:lang w:val="en-US"/>
        </w:rPr>
        <w:t>expected future climate policy.</w:t>
      </w:r>
      <w:r w:rsidR="00682DCE" w:rsidRPr="0050741C">
        <w:rPr>
          <w:lang w:val="en-US"/>
        </w:rPr>
        <w:t xml:space="preserve"> </w:t>
      </w:r>
      <w:r w:rsidR="0053308E" w:rsidRPr="0050741C">
        <w:rPr>
          <w:lang w:val="en-US"/>
        </w:rPr>
        <w:t xml:space="preserve">Carbon market cost </w:t>
      </w:r>
      <w:r w:rsidR="00185CA3">
        <w:rPr>
          <w:lang w:val="en-US"/>
        </w:rPr>
        <w:t>is</w:t>
      </w:r>
      <w:r w:rsidR="0053308E" w:rsidRPr="0050741C">
        <w:rPr>
          <w:lang w:val="en-US"/>
        </w:rPr>
        <w:t xml:space="preserve"> n</w:t>
      </w:r>
      <w:r w:rsidR="00233854" w:rsidRPr="0050741C">
        <w:rPr>
          <w:lang w:val="en-US"/>
        </w:rPr>
        <w:t xml:space="preserve">ot a reflection of the </w:t>
      </w:r>
      <w:r w:rsidR="00EB33C9">
        <w:rPr>
          <w:lang w:val="en-US"/>
        </w:rPr>
        <w:t>external</w:t>
      </w:r>
      <w:r w:rsidR="00233854" w:rsidRPr="0050741C">
        <w:rPr>
          <w:lang w:val="en-US"/>
        </w:rPr>
        <w:t xml:space="preserve"> cost of climate change</w:t>
      </w:r>
      <w:r w:rsidR="00D4430B" w:rsidRPr="0050741C">
        <w:rPr>
          <w:lang w:val="en-US"/>
        </w:rPr>
        <w:t>,</w:t>
      </w:r>
      <w:r w:rsidR="0053308E" w:rsidRPr="0050741C">
        <w:rPr>
          <w:lang w:val="en-US"/>
        </w:rPr>
        <w:t xml:space="preserve"> however</w:t>
      </w:r>
      <w:r w:rsidR="00185CA3">
        <w:rPr>
          <w:lang w:val="en-US"/>
        </w:rPr>
        <w:t>, and may</w:t>
      </w:r>
      <w:r w:rsidR="00053D4F" w:rsidRPr="0050741C">
        <w:rPr>
          <w:lang w:val="en-US"/>
        </w:rPr>
        <w:t xml:space="preserve"> be better assessed on the basis of</w:t>
      </w:r>
      <w:r w:rsidR="00F92B69" w:rsidRPr="0050741C">
        <w:rPr>
          <w:lang w:val="en-US"/>
        </w:rPr>
        <w:t xml:space="preserve"> </w:t>
      </w:r>
      <w:r w:rsidR="00053D4F" w:rsidRPr="0050741C">
        <w:rPr>
          <w:lang w:val="en-US"/>
        </w:rPr>
        <w:t xml:space="preserve">the cost of reducing emissions to a level that is in line with the international 2°C </w:t>
      </w:r>
      <w:r w:rsidR="00CB5133" w:rsidRPr="0050741C">
        <w:rPr>
          <w:lang w:val="en-US"/>
        </w:rPr>
        <w:t>stabilization</w:t>
      </w:r>
      <w:r w:rsidR="00053D4F" w:rsidRPr="0050741C">
        <w:rPr>
          <w:lang w:val="en-US"/>
        </w:rPr>
        <w:t xml:space="preserve"> goal (UNFCCC 2015). </w:t>
      </w:r>
    </w:p>
    <w:p w14:paraId="0E0008DB" w14:textId="77777777" w:rsidR="00B9796A" w:rsidRPr="0050741C" w:rsidRDefault="00B9796A" w:rsidP="00901DF3">
      <w:pPr>
        <w:spacing w:line="480" w:lineRule="auto"/>
        <w:jc w:val="both"/>
        <w:rPr>
          <w:lang w:val="en-US"/>
        </w:rPr>
      </w:pPr>
    </w:p>
    <w:p w14:paraId="7A3D6A0D" w14:textId="431FB7F3" w:rsidR="00A16AFA" w:rsidRPr="00DA00D5" w:rsidRDefault="00A50D55" w:rsidP="00901DF3">
      <w:pPr>
        <w:spacing w:line="480" w:lineRule="auto"/>
        <w:jc w:val="both"/>
        <w:rPr>
          <w:lang w:val="en-GB"/>
        </w:rPr>
      </w:pPr>
      <w:r w:rsidRPr="0050741C">
        <w:rPr>
          <w:lang w:val="en-US"/>
        </w:rPr>
        <w:t>F</w:t>
      </w:r>
      <w:r w:rsidR="006C19DB" w:rsidRPr="0050741C">
        <w:rPr>
          <w:lang w:val="en-US"/>
        </w:rPr>
        <w:t>ossil fuel</w:t>
      </w:r>
      <w:r w:rsidR="00AC785E" w:rsidRPr="0050741C">
        <w:rPr>
          <w:lang w:val="en-US"/>
        </w:rPr>
        <w:t>s are</w:t>
      </w:r>
      <w:r w:rsidRPr="0050741C">
        <w:rPr>
          <w:lang w:val="en-US"/>
        </w:rPr>
        <w:t xml:space="preserve"> </w:t>
      </w:r>
      <w:r w:rsidR="00AC785E" w:rsidRPr="0050741C">
        <w:rPr>
          <w:lang w:val="en-US"/>
        </w:rPr>
        <w:t xml:space="preserve">subsidized. A recent estimate by Coady et al. </w:t>
      </w:r>
      <w:r w:rsidR="00AC785E" w:rsidRPr="00DA00D5">
        <w:rPr>
          <w:lang w:val="en-US"/>
        </w:rPr>
        <w:t xml:space="preserve">(2017), </w:t>
      </w:r>
      <w:r w:rsidR="00DA00D5">
        <w:rPr>
          <w:lang w:val="en-GB"/>
        </w:rPr>
        <w:t>assesses the value of consumer prices below supply costs, and</w:t>
      </w:r>
      <w:r w:rsidR="00DA00D5" w:rsidRPr="00DA00D5">
        <w:rPr>
          <w:lang w:val="en-GB"/>
        </w:rPr>
        <w:t xml:space="preserve"> a </w:t>
      </w:r>
      <w:r w:rsidR="0050741C">
        <w:rPr>
          <w:lang w:val="en-GB"/>
        </w:rPr>
        <w:t>‘</w:t>
      </w:r>
      <w:r w:rsidR="00DA00D5" w:rsidRPr="00DA00D5">
        <w:rPr>
          <w:lang w:val="en-GB"/>
        </w:rPr>
        <w:t>Pigouvian</w:t>
      </w:r>
      <w:r w:rsidR="0050741C">
        <w:rPr>
          <w:lang w:val="en-GB"/>
        </w:rPr>
        <w:t>’</w:t>
      </w:r>
      <w:r w:rsidR="00DA00D5" w:rsidRPr="00DA00D5">
        <w:rPr>
          <w:lang w:val="en-GB"/>
        </w:rPr>
        <w:t xml:space="preserve"> </w:t>
      </w:r>
      <w:r w:rsidR="00DA00D5">
        <w:rPr>
          <w:lang w:val="en-GB"/>
        </w:rPr>
        <w:t>tax</w:t>
      </w:r>
      <w:r w:rsidR="00DA00D5" w:rsidRPr="00DA00D5">
        <w:rPr>
          <w:lang w:val="en-GB"/>
        </w:rPr>
        <w:t xml:space="preserve"> reflect</w:t>
      </w:r>
      <w:r w:rsidR="00DA00D5">
        <w:rPr>
          <w:lang w:val="en-GB"/>
        </w:rPr>
        <w:t>ing</w:t>
      </w:r>
      <w:r w:rsidR="00DA00D5" w:rsidRPr="00DA00D5">
        <w:rPr>
          <w:lang w:val="en-GB"/>
        </w:rPr>
        <w:t xml:space="preserve"> environmental da</w:t>
      </w:r>
      <w:r w:rsidR="00DA00D5">
        <w:rPr>
          <w:lang w:val="en-GB"/>
        </w:rPr>
        <w:t>mages. Combining</w:t>
      </w:r>
      <w:r w:rsidR="006C19DB" w:rsidRPr="00DA00D5">
        <w:rPr>
          <w:lang w:val="en-US"/>
        </w:rPr>
        <w:t xml:space="preserve"> air pollution, vehicle externalities, supply costs, and general consumer taxes, puts</w:t>
      </w:r>
      <w:r w:rsidR="00AC785E" w:rsidRPr="00DA00D5">
        <w:rPr>
          <w:lang w:val="en-US"/>
        </w:rPr>
        <w:t xml:space="preserve"> the total value of fossil fuel subsidies at</w:t>
      </w:r>
      <w:r w:rsidR="0010577C" w:rsidRPr="00DA00D5">
        <w:rPr>
          <w:lang w:val="en-US"/>
        </w:rPr>
        <w:t xml:space="preserve"> </w:t>
      </w:r>
      <w:r w:rsidR="00AC2505" w:rsidRPr="00DA00D5">
        <w:rPr>
          <w:lang w:val="en-US"/>
        </w:rPr>
        <w:t>€</w:t>
      </w:r>
      <w:r w:rsidR="00E56397" w:rsidRPr="00DA00D5">
        <w:rPr>
          <w:vertAlign w:val="subscript"/>
          <w:lang w:val="en-US"/>
        </w:rPr>
        <w:t>2017</w:t>
      </w:r>
      <w:r w:rsidR="00E56397" w:rsidRPr="00DA00D5">
        <w:rPr>
          <w:lang w:val="en-US"/>
        </w:rPr>
        <w:t>4.6</w:t>
      </w:r>
      <w:r w:rsidR="00AC2505" w:rsidRPr="00DA00D5">
        <w:rPr>
          <w:lang w:val="en-US"/>
        </w:rPr>
        <w:t xml:space="preserve"> trillion</w:t>
      </w:r>
      <w:r w:rsidR="000F3124">
        <w:rPr>
          <w:lang w:val="en-US"/>
        </w:rPr>
        <w:t xml:space="preserve"> </w:t>
      </w:r>
      <w:r w:rsidR="00AC785E" w:rsidRPr="0050741C">
        <w:rPr>
          <w:lang w:val="en-US"/>
        </w:rPr>
        <w:t>(</w:t>
      </w:r>
      <w:r w:rsidR="000F3124">
        <w:rPr>
          <w:lang w:val="en-US"/>
        </w:rPr>
        <w:t xml:space="preserve">ibid., for discussion see </w:t>
      </w:r>
      <w:r w:rsidR="00BE0766" w:rsidRPr="0050741C">
        <w:rPr>
          <w:lang w:val="en-US"/>
        </w:rPr>
        <w:t xml:space="preserve">McKitrick </w:t>
      </w:r>
      <w:r w:rsidR="00BE0766" w:rsidRPr="0050741C">
        <w:rPr>
          <w:lang w:val="en-US"/>
        </w:rPr>
        <w:lastRenderedPageBreak/>
        <w:t>2017)</w:t>
      </w:r>
      <w:r w:rsidR="003E7A6D" w:rsidRPr="0050741C">
        <w:rPr>
          <w:lang w:val="en-US"/>
        </w:rPr>
        <w:t xml:space="preserve">. </w:t>
      </w:r>
      <w:r w:rsidR="00DA00D5" w:rsidRPr="00DA00D5">
        <w:rPr>
          <w:lang w:val="en-US"/>
        </w:rPr>
        <w:t>Including</w:t>
      </w:r>
      <w:r w:rsidR="003E7A6D" w:rsidRPr="00DA00D5">
        <w:rPr>
          <w:lang w:val="en-US"/>
        </w:rPr>
        <w:t xml:space="preserve"> only supply costs </w:t>
      </w:r>
      <w:r w:rsidR="00DA00D5" w:rsidRPr="00DA00D5">
        <w:rPr>
          <w:lang w:val="en-US"/>
        </w:rPr>
        <w:t xml:space="preserve">below consumer prices </w:t>
      </w:r>
      <w:r w:rsidR="003E7A6D" w:rsidRPr="00DA00D5">
        <w:rPr>
          <w:lang w:val="en-US"/>
        </w:rPr>
        <w:t>as subsidies</w:t>
      </w:r>
      <w:r w:rsidR="00DA00D5" w:rsidRPr="00DA00D5">
        <w:rPr>
          <w:lang w:val="en-US"/>
        </w:rPr>
        <w:t xml:space="preserve"> </w:t>
      </w:r>
      <w:r w:rsidR="00DA00D5">
        <w:rPr>
          <w:lang w:val="en-US"/>
        </w:rPr>
        <w:t>corresponds to</w:t>
      </w:r>
      <w:r w:rsidR="009A5671" w:rsidRPr="00DA00D5">
        <w:rPr>
          <w:lang w:val="en-US"/>
        </w:rPr>
        <w:t xml:space="preserve"> </w:t>
      </w:r>
      <w:r w:rsidR="009D7E70" w:rsidRPr="00DA00D5">
        <w:rPr>
          <w:lang w:val="en-US"/>
        </w:rPr>
        <w:t>€</w:t>
      </w:r>
      <w:r w:rsidR="00273A7F" w:rsidRPr="00DA00D5">
        <w:rPr>
          <w:vertAlign w:val="subscript"/>
          <w:lang w:val="en-US"/>
        </w:rPr>
        <w:t>2017</w:t>
      </w:r>
      <w:r w:rsidR="009D7E70" w:rsidRPr="00DA00D5">
        <w:rPr>
          <w:lang w:val="en-US"/>
        </w:rPr>
        <w:t>504</w:t>
      </w:r>
      <w:r w:rsidR="00AC2505" w:rsidRPr="00DA00D5">
        <w:rPr>
          <w:lang w:val="en-US"/>
        </w:rPr>
        <w:t xml:space="preserve"> billion</w:t>
      </w:r>
      <w:r w:rsidR="00CA06D3" w:rsidRPr="00DA00D5">
        <w:rPr>
          <w:lang w:val="en-US"/>
        </w:rPr>
        <w:t>, across all fossil fuels</w:t>
      </w:r>
      <w:r w:rsidR="009A5671" w:rsidRPr="00DA00D5">
        <w:rPr>
          <w:lang w:val="en-US"/>
        </w:rPr>
        <w:t xml:space="preserve"> (Coady et al. </w:t>
      </w:r>
      <w:r w:rsidR="00C73412" w:rsidRPr="00DA00D5">
        <w:rPr>
          <w:lang w:val="en-US"/>
        </w:rPr>
        <w:t>2017).</w:t>
      </w:r>
    </w:p>
    <w:p w14:paraId="010BEB35" w14:textId="77777777" w:rsidR="00B87953" w:rsidRPr="00DA00D5" w:rsidRDefault="00B87953" w:rsidP="00901DF3">
      <w:pPr>
        <w:spacing w:line="480" w:lineRule="auto"/>
        <w:jc w:val="both"/>
        <w:rPr>
          <w:b/>
          <w:lang w:val="en-US"/>
        </w:rPr>
      </w:pPr>
    </w:p>
    <w:p w14:paraId="54EC9C3D" w14:textId="4E978D83" w:rsidR="000172EA" w:rsidRPr="0050741C" w:rsidRDefault="00EF704C" w:rsidP="00901DF3">
      <w:pPr>
        <w:spacing w:line="480" w:lineRule="auto"/>
        <w:outlineLvl w:val="0"/>
        <w:rPr>
          <w:i/>
          <w:lang w:val="en-US"/>
        </w:rPr>
      </w:pPr>
      <w:r w:rsidRPr="0050741C">
        <w:rPr>
          <w:i/>
          <w:lang w:val="en-US"/>
        </w:rPr>
        <w:t>1.2</w:t>
      </w:r>
      <w:r w:rsidR="00FD3D4A" w:rsidRPr="0050741C">
        <w:rPr>
          <w:i/>
          <w:lang w:val="en-US"/>
        </w:rPr>
        <w:t xml:space="preserve"> </w:t>
      </w:r>
      <w:r w:rsidR="000172EA" w:rsidRPr="0050741C">
        <w:rPr>
          <w:i/>
          <w:lang w:val="en-US"/>
        </w:rPr>
        <w:t>Air pollution</w:t>
      </w:r>
    </w:p>
    <w:p w14:paraId="1432C427" w14:textId="34BC3F41" w:rsidR="000172EA" w:rsidRPr="0050741C" w:rsidRDefault="00DC61AA" w:rsidP="00901DF3">
      <w:pPr>
        <w:spacing w:line="480" w:lineRule="auto"/>
        <w:jc w:val="both"/>
        <w:rPr>
          <w:lang w:val="en-US"/>
        </w:rPr>
      </w:pPr>
      <w:r w:rsidRPr="0050741C">
        <w:rPr>
          <w:lang w:val="en-US"/>
        </w:rPr>
        <w:t>The cost of air pollution includes</w:t>
      </w:r>
      <w:r w:rsidR="0007630E" w:rsidRPr="0050741C">
        <w:rPr>
          <w:lang w:val="en-US"/>
        </w:rPr>
        <w:t xml:space="preserve"> economic and health effects of </w:t>
      </w:r>
      <w:r w:rsidR="00746655" w:rsidRPr="0050741C">
        <w:rPr>
          <w:lang w:val="en-US"/>
        </w:rPr>
        <w:t>carbon monoxide (</w:t>
      </w:r>
      <w:r w:rsidR="0007630E" w:rsidRPr="0050741C">
        <w:rPr>
          <w:lang w:val="en-US"/>
        </w:rPr>
        <w:t>CO</w:t>
      </w:r>
      <w:r w:rsidR="00746655" w:rsidRPr="0050741C">
        <w:rPr>
          <w:lang w:val="en-US"/>
        </w:rPr>
        <w:t>), nitrous oxides (</w:t>
      </w:r>
      <w:r w:rsidR="0007630E" w:rsidRPr="0050741C">
        <w:rPr>
          <w:lang w:val="en-US"/>
        </w:rPr>
        <w:t>NOx</w:t>
      </w:r>
      <w:r w:rsidR="00746655" w:rsidRPr="0050741C">
        <w:rPr>
          <w:lang w:val="en-US"/>
        </w:rPr>
        <w:t>)</w:t>
      </w:r>
      <w:r w:rsidR="0007630E" w:rsidRPr="0050741C">
        <w:rPr>
          <w:lang w:val="en-US"/>
        </w:rPr>
        <w:t>,</w:t>
      </w:r>
      <w:r w:rsidR="00514683" w:rsidRPr="0050741C">
        <w:rPr>
          <w:lang w:val="en-US"/>
        </w:rPr>
        <w:t xml:space="preserve"> </w:t>
      </w:r>
      <w:r w:rsidR="000172EA" w:rsidRPr="0050741C">
        <w:rPr>
          <w:lang w:val="en-US"/>
        </w:rPr>
        <w:t xml:space="preserve">particulate matter </w:t>
      </w:r>
      <w:r w:rsidR="00514683" w:rsidRPr="0050741C">
        <w:rPr>
          <w:lang w:val="en-US"/>
        </w:rPr>
        <w:t>(PM</w:t>
      </w:r>
      <w:r w:rsidR="00514683" w:rsidRPr="0050741C">
        <w:rPr>
          <w:vertAlign w:val="subscript"/>
          <w:lang w:val="en-US"/>
        </w:rPr>
        <w:t>2.5</w:t>
      </w:r>
      <w:r w:rsidR="00514683" w:rsidRPr="0050741C">
        <w:rPr>
          <w:lang w:val="en-US"/>
        </w:rPr>
        <w:t>, PM</w:t>
      </w:r>
      <w:r w:rsidR="00514683" w:rsidRPr="0050741C">
        <w:rPr>
          <w:vertAlign w:val="subscript"/>
          <w:lang w:val="en-US"/>
        </w:rPr>
        <w:t>10</w:t>
      </w:r>
      <w:r w:rsidR="00514683" w:rsidRPr="0050741C">
        <w:rPr>
          <w:lang w:val="en-US"/>
        </w:rPr>
        <w:t xml:space="preserve">), sulphurous oxides (SOx), </w:t>
      </w:r>
      <w:r w:rsidRPr="0050741C">
        <w:rPr>
          <w:lang w:val="en-US"/>
        </w:rPr>
        <w:t>v</w:t>
      </w:r>
      <w:r w:rsidR="00514683" w:rsidRPr="0050741C">
        <w:rPr>
          <w:lang w:val="en-US"/>
        </w:rPr>
        <w:t>olatile organic compounds (VOC), and ozone (O</w:t>
      </w:r>
      <w:r w:rsidR="00514683" w:rsidRPr="0050741C">
        <w:rPr>
          <w:vertAlign w:val="subscript"/>
          <w:lang w:val="en-US"/>
        </w:rPr>
        <w:t>3</w:t>
      </w:r>
      <w:r w:rsidR="00514683" w:rsidRPr="0050741C">
        <w:rPr>
          <w:lang w:val="en-US"/>
        </w:rPr>
        <w:t>)</w:t>
      </w:r>
      <w:r w:rsidR="000172EA" w:rsidRPr="0050741C">
        <w:rPr>
          <w:lang w:val="en-US"/>
        </w:rPr>
        <w:t xml:space="preserve"> (Crüts et al., 2008; Klæboe et al., 2000; Künzli et al., 2000; Morelli et al., 2015). </w:t>
      </w:r>
      <w:r w:rsidR="0031012A" w:rsidRPr="0050741C">
        <w:rPr>
          <w:lang w:val="en-US"/>
        </w:rPr>
        <w:t xml:space="preserve">The European Environment Agency </w:t>
      </w:r>
      <w:r w:rsidR="00776B2A" w:rsidRPr="0050741C">
        <w:rPr>
          <w:lang w:val="en-US"/>
        </w:rPr>
        <w:t xml:space="preserve">(EEA 2016) </w:t>
      </w:r>
      <w:r w:rsidR="0031012A" w:rsidRPr="0050741C">
        <w:rPr>
          <w:lang w:val="en-US"/>
        </w:rPr>
        <w:t>also distinguishes</w:t>
      </w:r>
      <w:r w:rsidR="00776B2A" w:rsidRPr="0050741C">
        <w:rPr>
          <w:lang w:val="en-US"/>
        </w:rPr>
        <w:t xml:space="preserve"> black carbon (BC), ammonia (NH</w:t>
      </w:r>
      <w:r w:rsidR="00776B2A" w:rsidRPr="0050741C">
        <w:rPr>
          <w:vertAlign w:val="subscript"/>
          <w:lang w:val="en-US"/>
        </w:rPr>
        <w:t>3</w:t>
      </w:r>
      <w:r w:rsidR="00776B2A" w:rsidRPr="0050741C">
        <w:rPr>
          <w:lang w:val="en-US"/>
        </w:rPr>
        <w:t>),</w:t>
      </w:r>
      <w:r w:rsidR="00F347F2" w:rsidRPr="0050741C">
        <w:rPr>
          <w:lang w:val="en-US"/>
        </w:rPr>
        <w:t xml:space="preserve"> </w:t>
      </w:r>
      <w:r w:rsidR="00F938B6" w:rsidRPr="0050741C">
        <w:rPr>
          <w:lang w:val="en-US"/>
        </w:rPr>
        <w:t xml:space="preserve">Benzopyrene (BaP), </w:t>
      </w:r>
      <w:r w:rsidR="00F347F2" w:rsidRPr="0050741C">
        <w:rPr>
          <w:lang w:val="en-US"/>
        </w:rPr>
        <w:t>benzene (C</w:t>
      </w:r>
      <w:r w:rsidR="00F347F2" w:rsidRPr="0050741C">
        <w:rPr>
          <w:vertAlign w:val="subscript"/>
          <w:lang w:val="en-US"/>
        </w:rPr>
        <w:t>6</w:t>
      </w:r>
      <w:r w:rsidR="00F347F2" w:rsidRPr="0050741C">
        <w:rPr>
          <w:lang w:val="en-US"/>
        </w:rPr>
        <w:t>H</w:t>
      </w:r>
      <w:r w:rsidR="00F347F2" w:rsidRPr="0050741C">
        <w:rPr>
          <w:vertAlign w:val="subscript"/>
          <w:lang w:val="en-US"/>
        </w:rPr>
        <w:t>6</w:t>
      </w:r>
      <w:r w:rsidR="00F347F2" w:rsidRPr="0050741C">
        <w:rPr>
          <w:lang w:val="en-US"/>
        </w:rPr>
        <w:t>, an additive to petrol</w:t>
      </w:r>
      <w:r w:rsidRPr="0050741C">
        <w:rPr>
          <w:lang w:val="en-US"/>
        </w:rPr>
        <w:t>)</w:t>
      </w:r>
      <w:r w:rsidR="00F347F2" w:rsidRPr="0050741C">
        <w:rPr>
          <w:lang w:val="en-US"/>
        </w:rPr>
        <w:t>,</w:t>
      </w:r>
      <w:r w:rsidR="00C005E8" w:rsidRPr="0050741C">
        <w:rPr>
          <w:lang w:val="en-US"/>
        </w:rPr>
        <w:t xml:space="preserve"> as well as</w:t>
      </w:r>
      <w:r w:rsidR="00F347F2" w:rsidRPr="0050741C">
        <w:rPr>
          <w:lang w:val="en-US"/>
        </w:rPr>
        <w:t xml:space="preserve"> </w:t>
      </w:r>
      <w:r w:rsidR="00C005E8" w:rsidRPr="0050741C">
        <w:rPr>
          <w:lang w:val="en-US"/>
        </w:rPr>
        <w:t>toxic metals such as arsenic (As), Cadmium (Cd), Nickel (Ni), Lead (Pb) and mercury (Hg), which are linked to combustion of fossil fuels, metal production, and waste incineration.</w:t>
      </w:r>
      <w:r w:rsidR="00F347F2" w:rsidRPr="0050741C">
        <w:rPr>
          <w:lang w:val="en-US"/>
        </w:rPr>
        <w:t xml:space="preserve"> </w:t>
      </w:r>
      <w:r w:rsidR="000172EA" w:rsidRPr="0050741C">
        <w:rPr>
          <w:lang w:val="en-US"/>
        </w:rPr>
        <w:t xml:space="preserve">Pollutants have </w:t>
      </w:r>
      <w:r w:rsidR="00220E74" w:rsidRPr="0050741C">
        <w:rPr>
          <w:lang w:val="en-US"/>
        </w:rPr>
        <w:t>various</w:t>
      </w:r>
      <w:r w:rsidR="000172EA" w:rsidRPr="0050741C">
        <w:rPr>
          <w:lang w:val="en-US"/>
        </w:rPr>
        <w:t xml:space="preserve"> health effects, </w:t>
      </w:r>
      <w:r w:rsidR="00220E74" w:rsidRPr="0050741C">
        <w:rPr>
          <w:lang w:val="en-US"/>
        </w:rPr>
        <w:t>including</w:t>
      </w:r>
      <w:r w:rsidR="000172EA" w:rsidRPr="0050741C">
        <w:rPr>
          <w:lang w:val="en-US"/>
        </w:rPr>
        <w:t xml:space="preserve"> bronchitis and asthma, lung cancer and cardiopulmonary diseases (e.g. Hoek et al. 2002; </w:t>
      </w:r>
      <w:r w:rsidR="00153D7A" w:rsidRPr="0050741C">
        <w:rPr>
          <w:lang w:val="en-US"/>
        </w:rPr>
        <w:t>Pope et al. 2002</w:t>
      </w:r>
      <w:r w:rsidR="000172EA" w:rsidRPr="0050741C">
        <w:rPr>
          <w:lang w:val="en-US"/>
        </w:rPr>
        <w:t xml:space="preserve">). Traffic exhaust can be particularly dangerous to children (Patel </w:t>
      </w:r>
      <w:r w:rsidR="003A701B">
        <w:rPr>
          <w:lang w:val="en-US"/>
        </w:rPr>
        <w:t>&amp;</w:t>
      </w:r>
      <w:r w:rsidR="000172EA" w:rsidRPr="0050741C">
        <w:rPr>
          <w:lang w:val="en-US"/>
        </w:rPr>
        <w:t xml:space="preserve"> Miller 2009; Vette et al. 2013), </w:t>
      </w:r>
      <w:r w:rsidR="00220E74" w:rsidRPr="0050741C">
        <w:rPr>
          <w:lang w:val="en-US"/>
        </w:rPr>
        <w:t>and lead to</w:t>
      </w:r>
      <w:r w:rsidR="000172EA" w:rsidRPr="0050741C">
        <w:rPr>
          <w:lang w:val="en-US"/>
        </w:rPr>
        <w:t xml:space="preserve"> respiratory infections, low birth weight, preterm birth and cognitive impairment (Andersen et al. 2000; Brunekreef and Holgate 2002; Sunyer et al. 2015). </w:t>
      </w:r>
      <w:r w:rsidR="00085040" w:rsidRPr="0050741C">
        <w:rPr>
          <w:lang w:val="en-US"/>
        </w:rPr>
        <w:t>Impacts also include hospital admissions, restricted activity days and work days</w:t>
      </w:r>
      <w:r w:rsidR="003A701B">
        <w:rPr>
          <w:lang w:val="en-US"/>
        </w:rPr>
        <w:t xml:space="preserve"> lost</w:t>
      </w:r>
      <w:r w:rsidR="00085040" w:rsidRPr="0050741C">
        <w:rPr>
          <w:lang w:val="en-US"/>
        </w:rPr>
        <w:t xml:space="preserve"> (Korzhenevych et al. 2014). </w:t>
      </w:r>
      <w:r w:rsidR="0077379E" w:rsidRPr="0050741C">
        <w:rPr>
          <w:lang w:val="en-US"/>
        </w:rPr>
        <w:t>Apart from these health-related costs, air pollutants also affect biodiversity, agricultural yield, as well as buildings through the soiling of facades and corrosive processes (C</w:t>
      </w:r>
      <w:r w:rsidR="00BE275D" w:rsidRPr="0050741C">
        <w:rPr>
          <w:lang w:val="en-US"/>
        </w:rPr>
        <w:t>E</w:t>
      </w:r>
      <w:r w:rsidR="0077379E" w:rsidRPr="0050741C">
        <w:rPr>
          <w:lang w:val="en-US"/>
        </w:rPr>
        <w:t xml:space="preserve"> Delft </w:t>
      </w:r>
      <w:r w:rsidR="00374D0D" w:rsidRPr="0050741C">
        <w:rPr>
          <w:lang w:val="en-US"/>
        </w:rPr>
        <w:t xml:space="preserve">et al. </w:t>
      </w:r>
      <w:r w:rsidR="0077379E" w:rsidRPr="0050741C">
        <w:rPr>
          <w:lang w:val="en-US"/>
        </w:rPr>
        <w:t>2011).</w:t>
      </w:r>
    </w:p>
    <w:p w14:paraId="7A9BC689" w14:textId="77777777" w:rsidR="000172EA" w:rsidRPr="0050741C" w:rsidRDefault="000172EA" w:rsidP="00901DF3">
      <w:pPr>
        <w:spacing w:line="480" w:lineRule="auto"/>
        <w:rPr>
          <w:lang w:val="en-US"/>
        </w:rPr>
      </w:pPr>
    </w:p>
    <w:p w14:paraId="451C62B7" w14:textId="4924EFA3" w:rsidR="000172EA" w:rsidRPr="0050741C" w:rsidRDefault="006B7FFD" w:rsidP="00901DF3">
      <w:pPr>
        <w:spacing w:line="480" w:lineRule="auto"/>
        <w:jc w:val="both"/>
        <w:rPr>
          <w:lang w:val="en-US"/>
        </w:rPr>
      </w:pPr>
      <w:r w:rsidRPr="0050741C">
        <w:rPr>
          <w:lang w:val="en-US"/>
        </w:rPr>
        <w:t>Various recent assessments have highlighted that air pollution is responsible for a considerable part of</w:t>
      </w:r>
      <w:r w:rsidR="00217EFA" w:rsidRPr="0050741C">
        <w:rPr>
          <w:lang w:val="en-US"/>
        </w:rPr>
        <w:t xml:space="preserve"> global</w:t>
      </w:r>
      <w:r w:rsidRPr="0050741C">
        <w:rPr>
          <w:lang w:val="en-US"/>
        </w:rPr>
        <w:t xml:space="preserve"> </w:t>
      </w:r>
      <w:r w:rsidR="00644A61" w:rsidRPr="0050741C">
        <w:rPr>
          <w:lang w:val="en-US"/>
        </w:rPr>
        <w:t xml:space="preserve">morbidity (diseases) and </w:t>
      </w:r>
      <w:r w:rsidRPr="0050741C">
        <w:rPr>
          <w:lang w:val="en-US"/>
        </w:rPr>
        <w:t>mortality</w:t>
      </w:r>
      <w:r w:rsidR="00217EFA" w:rsidRPr="0050741C">
        <w:rPr>
          <w:lang w:val="en-US"/>
        </w:rPr>
        <w:t xml:space="preserve"> (premature deaths)</w:t>
      </w:r>
      <w:r w:rsidRPr="0050741C">
        <w:rPr>
          <w:lang w:val="en-US"/>
        </w:rPr>
        <w:t xml:space="preserve">. </w:t>
      </w:r>
      <w:r w:rsidR="003A0BC8" w:rsidRPr="003A0BC8">
        <w:rPr>
          <w:lang w:val="en-US"/>
        </w:rPr>
        <w:t xml:space="preserve">While the Lancet Commission (2017) estimates that 16% of all deaths worldwide are related to pollution, European </w:t>
      </w:r>
      <w:r w:rsidR="00DB6210">
        <w:rPr>
          <w:lang w:val="en-US"/>
        </w:rPr>
        <w:t xml:space="preserve">assessments </w:t>
      </w:r>
      <w:r w:rsidR="000172EA" w:rsidRPr="00DB6210">
        <w:rPr>
          <w:lang w:val="en-US"/>
        </w:rPr>
        <w:t>conclude</w:t>
      </w:r>
      <w:r w:rsidR="00220E74" w:rsidRPr="00DB6210">
        <w:rPr>
          <w:lang w:val="en-US"/>
        </w:rPr>
        <w:t>d</w:t>
      </w:r>
      <w:r w:rsidR="000172EA" w:rsidRPr="00DB6210">
        <w:rPr>
          <w:lang w:val="en-US"/>
        </w:rPr>
        <w:t xml:space="preserve"> that air pollution is responsible for 6% of total </w:t>
      </w:r>
      <w:r w:rsidR="00DB6210">
        <w:rPr>
          <w:lang w:val="en-US"/>
        </w:rPr>
        <w:lastRenderedPageBreak/>
        <w:t>mortality</w:t>
      </w:r>
      <w:r w:rsidR="000172EA" w:rsidRPr="00DB6210">
        <w:rPr>
          <w:lang w:val="en-US"/>
        </w:rPr>
        <w:t>, half of this attributed to motorized transport</w:t>
      </w:r>
      <w:r w:rsidR="00DB6210">
        <w:rPr>
          <w:lang w:val="en-US"/>
        </w:rPr>
        <w:t xml:space="preserve"> (</w:t>
      </w:r>
      <w:r w:rsidR="00DB6210" w:rsidRPr="003A0BC8">
        <w:rPr>
          <w:lang w:val="en-US"/>
        </w:rPr>
        <w:t xml:space="preserve">Künzli et al. </w:t>
      </w:r>
      <w:r w:rsidR="00DB6210" w:rsidRPr="00DB6210">
        <w:rPr>
          <w:lang w:val="en-US"/>
        </w:rPr>
        <w:t>2000)</w:t>
      </w:r>
      <w:r w:rsidR="000172EA" w:rsidRPr="00DB6210">
        <w:rPr>
          <w:lang w:val="en-US"/>
        </w:rPr>
        <w:t xml:space="preserve">. </w:t>
      </w:r>
      <w:r w:rsidR="00864370" w:rsidRPr="0050741C">
        <w:rPr>
          <w:lang w:val="en-US"/>
        </w:rPr>
        <w:t>Notably, this would indicate that a</w:t>
      </w:r>
      <w:r w:rsidR="000172EA" w:rsidRPr="0050741C">
        <w:rPr>
          <w:lang w:val="en-US"/>
        </w:rPr>
        <w:t>ir pollution contributes to</w:t>
      </w:r>
      <w:r w:rsidR="00864370" w:rsidRPr="0050741C">
        <w:rPr>
          <w:lang w:val="en-US"/>
        </w:rPr>
        <w:t xml:space="preserve"> at least</w:t>
      </w:r>
      <w:r w:rsidR="000172EA" w:rsidRPr="0050741C">
        <w:rPr>
          <w:lang w:val="en-US"/>
        </w:rPr>
        <w:t xml:space="preserve"> twice as many deaths as traffic accidents (Künzli et al. 2000</w:t>
      </w:r>
      <w:r w:rsidR="00864370" w:rsidRPr="0050741C">
        <w:rPr>
          <w:lang w:val="en-US"/>
        </w:rPr>
        <w:t>; see</w:t>
      </w:r>
      <w:r w:rsidR="003A701B">
        <w:rPr>
          <w:lang w:val="en-US"/>
        </w:rPr>
        <w:t xml:space="preserve"> also</w:t>
      </w:r>
      <w:r w:rsidRPr="0050741C">
        <w:rPr>
          <w:lang w:val="en-US"/>
        </w:rPr>
        <w:t xml:space="preserve"> </w:t>
      </w:r>
      <w:r w:rsidR="000172EA" w:rsidRPr="0050741C">
        <w:rPr>
          <w:lang w:val="en-US"/>
        </w:rPr>
        <w:t xml:space="preserve">Brauer et al. 2013). </w:t>
      </w:r>
      <w:r w:rsidR="006752D8" w:rsidRPr="0050741C">
        <w:rPr>
          <w:lang w:val="en-US"/>
        </w:rPr>
        <w:t xml:space="preserve">EEA (2017) suggests that in the EU28, road transport accounted for </w:t>
      </w:r>
      <w:r w:rsidR="00F36173" w:rsidRPr="0050741C">
        <w:rPr>
          <w:lang w:val="en-US"/>
        </w:rPr>
        <w:t>19% of total greenhouse gases (</w:t>
      </w:r>
      <w:r w:rsidR="00746655" w:rsidRPr="0050741C">
        <w:rPr>
          <w:lang w:val="en-US"/>
        </w:rPr>
        <w:t xml:space="preserve">GHG, in </w:t>
      </w:r>
      <w:r w:rsidR="00F36173" w:rsidRPr="0050741C">
        <w:rPr>
          <w:lang w:val="en-US"/>
        </w:rPr>
        <w:t>CO</w:t>
      </w:r>
      <w:r w:rsidR="00F36173" w:rsidRPr="0050741C">
        <w:rPr>
          <w:vertAlign w:val="subscript"/>
          <w:lang w:val="en-US"/>
        </w:rPr>
        <w:t>2</w:t>
      </w:r>
      <w:r w:rsidR="00F36173" w:rsidRPr="0050741C">
        <w:rPr>
          <w:lang w:val="en-US"/>
        </w:rPr>
        <w:t>-eq</w:t>
      </w:r>
      <w:r w:rsidR="00746655" w:rsidRPr="0050741C">
        <w:rPr>
          <w:lang w:val="en-US"/>
        </w:rPr>
        <w:t>uivalents</w:t>
      </w:r>
      <w:r w:rsidR="00F36173" w:rsidRPr="0050741C">
        <w:rPr>
          <w:lang w:val="en-US"/>
        </w:rPr>
        <w:t xml:space="preserve">), </w:t>
      </w:r>
      <w:r w:rsidR="006752D8" w:rsidRPr="0050741C">
        <w:rPr>
          <w:lang w:val="en-US"/>
        </w:rPr>
        <w:t>39% of NO</w:t>
      </w:r>
      <w:r w:rsidR="006752D8" w:rsidRPr="0050741C">
        <w:rPr>
          <w:vertAlign w:val="subscript"/>
          <w:lang w:val="en-US"/>
        </w:rPr>
        <w:t>x</w:t>
      </w:r>
      <w:r w:rsidR="006752D8" w:rsidRPr="0050741C">
        <w:rPr>
          <w:lang w:val="en-US"/>
        </w:rPr>
        <w:t>, 11% of PM</w:t>
      </w:r>
      <w:r w:rsidR="006752D8" w:rsidRPr="0050741C">
        <w:rPr>
          <w:vertAlign w:val="subscript"/>
          <w:lang w:val="en-US"/>
        </w:rPr>
        <w:t xml:space="preserve">2.5 </w:t>
      </w:r>
      <w:r w:rsidR="006752D8" w:rsidRPr="0050741C">
        <w:rPr>
          <w:lang w:val="en-US"/>
        </w:rPr>
        <w:t>and PM</w:t>
      </w:r>
      <w:r w:rsidR="006752D8" w:rsidRPr="0050741C">
        <w:rPr>
          <w:vertAlign w:val="subscript"/>
          <w:lang w:val="en-US"/>
        </w:rPr>
        <w:t>10</w:t>
      </w:r>
      <w:r w:rsidR="006752D8" w:rsidRPr="0050741C">
        <w:rPr>
          <w:lang w:val="en-US"/>
        </w:rPr>
        <w:t>, 10% of NMVOCs, 20% of CO and 29% of BC.</w:t>
      </w:r>
      <w:r w:rsidR="0068601C" w:rsidRPr="0050741C">
        <w:rPr>
          <w:lang w:val="en-US"/>
        </w:rPr>
        <w:t xml:space="preserve"> Road transport also contribute</w:t>
      </w:r>
      <w:r w:rsidR="004608A7" w:rsidRPr="0050741C">
        <w:rPr>
          <w:lang w:val="en-US"/>
        </w:rPr>
        <w:t>d to 1-16% of emissions of toxic metals (As, Cd, Ni, Pb, Hg</w:t>
      </w:r>
      <w:r w:rsidR="0068601C" w:rsidRPr="0050741C">
        <w:rPr>
          <w:lang w:val="en-US"/>
        </w:rPr>
        <w:t>).</w:t>
      </w:r>
    </w:p>
    <w:p w14:paraId="6D03E483" w14:textId="77777777" w:rsidR="006B7FFD" w:rsidRPr="0050741C" w:rsidRDefault="006B7FFD" w:rsidP="00901DF3">
      <w:pPr>
        <w:spacing w:line="480" w:lineRule="auto"/>
        <w:jc w:val="both"/>
        <w:rPr>
          <w:lang w:val="en-US"/>
        </w:rPr>
      </w:pPr>
    </w:p>
    <w:p w14:paraId="231535B6" w14:textId="7AF0C10C" w:rsidR="0007630E" w:rsidRPr="0050741C" w:rsidRDefault="00EF704C" w:rsidP="00901DF3">
      <w:pPr>
        <w:spacing w:line="480" w:lineRule="auto"/>
        <w:outlineLvl w:val="0"/>
        <w:rPr>
          <w:i/>
          <w:lang w:val="en-US"/>
        </w:rPr>
      </w:pPr>
      <w:r w:rsidRPr="0050741C">
        <w:rPr>
          <w:i/>
          <w:lang w:val="en-US"/>
        </w:rPr>
        <w:t>1.3</w:t>
      </w:r>
      <w:r w:rsidR="00FD3D4A" w:rsidRPr="0050741C">
        <w:rPr>
          <w:i/>
          <w:lang w:val="en-US"/>
        </w:rPr>
        <w:t xml:space="preserve"> </w:t>
      </w:r>
      <w:r w:rsidR="0007630E" w:rsidRPr="0050741C">
        <w:rPr>
          <w:i/>
          <w:lang w:val="en-US"/>
        </w:rPr>
        <w:t>Noise</w:t>
      </w:r>
    </w:p>
    <w:p w14:paraId="7FBA5DCE" w14:textId="4633E1EC" w:rsidR="0007630E" w:rsidRPr="0050741C" w:rsidRDefault="00884888" w:rsidP="00901DF3">
      <w:pPr>
        <w:spacing w:line="480" w:lineRule="auto"/>
        <w:jc w:val="both"/>
        <w:rPr>
          <w:lang w:val="en-US"/>
        </w:rPr>
      </w:pPr>
      <w:r w:rsidRPr="0050741C">
        <w:rPr>
          <w:lang w:val="en-US"/>
        </w:rPr>
        <w:t>The cost of noise from traffic consists of two ele</w:t>
      </w:r>
      <w:r w:rsidR="00E241FA" w:rsidRPr="0050741C">
        <w:rPr>
          <w:lang w:val="en-US"/>
        </w:rPr>
        <w:t>ments: the cost of annoyance as well as</w:t>
      </w:r>
      <w:r w:rsidRPr="0050741C">
        <w:rPr>
          <w:lang w:val="en-US"/>
        </w:rPr>
        <w:t xml:space="preserve"> the cost of health impacts due to noise exposure (</w:t>
      </w:r>
      <w:r w:rsidR="00E241FA" w:rsidRPr="0050741C">
        <w:rPr>
          <w:lang w:val="en-US"/>
        </w:rPr>
        <w:t xml:space="preserve">CE Delft et al. 2011). </w:t>
      </w:r>
      <w:r w:rsidR="00C17D69" w:rsidRPr="0050741C">
        <w:rPr>
          <w:lang w:val="en-US"/>
        </w:rPr>
        <w:t xml:space="preserve">Noise causes </w:t>
      </w:r>
      <w:r w:rsidR="003568A4" w:rsidRPr="0050741C">
        <w:rPr>
          <w:lang w:val="en-US"/>
        </w:rPr>
        <w:t>stress</w:t>
      </w:r>
      <w:r w:rsidR="00A30651" w:rsidRPr="0050741C">
        <w:rPr>
          <w:lang w:val="en-US"/>
        </w:rPr>
        <w:t xml:space="preserve"> and has been</w:t>
      </w:r>
      <w:r w:rsidR="0007630E" w:rsidRPr="0050741C">
        <w:rPr>
          <w:lang w:val="en-US"/>
        </w:rPr>
        <w:t xml:space="preserve"> linked to tinnitus, mood changes, chronic sleep disturbance and lack of recovery from tiredne</w:t>
      </w:r>
      <w:r w:rsidR="00A30651" w:rsidRPr="0050741C">
        <w:rPr>
          <w:lang w:val="en-US"/>
        </w:rPr>
        <w:t>ss, nervous</w:t>
      </w:r>
      <w:r w:rsidR="0007630E" w:rsidRPr="0050741C">
        <w:rPr>
          <w:lang w:val="en-US"/>
        </w:rPr>
        <w:t>ness, anxiety and phobia, car</w:t>
      </w:r>
      <w:r w:rsidR="00A30651" w:rsidRPr="0050741C">
        <w:rPr>
          <w:lang w:val="en-US"/>
        </w:rPr>
        <w:t>diovascular diseases</w:t>
      </w:r>
      <w:r w:rsidR="0079393D" w:rsidRPr="0050741C">
        <w:rPr>
          <w:lang w:val="en-US"/>
        </w:rPr>
        <w:t>,</w:t>
      </w:r>
      <w:r w:rsidR="00A30651" w:rsidRPr="0050741C">
        <w:rPr>
          <w:lang w:val="en-US"/>
        </w:rPr>
        <w:t xml:space="preserve"> and cogni</w:t>
      </w:r>
      <w:r w:rsidR="0007630E" w:rsidRPr="0050741C">
        <w:rPr>
          <w:lang w:val="en-US"/>
        </w:rPr>
        <w:t>tive impairment of children (Babisch</w:t>
      </w:r>
      <w:r w:rsidR="00AD4D3C">
        <w:rPr>
          <w:lang w:val="en-US"/>
        </w:rPr>
        <w:t xml:space="preserve"> </w:t>
      </w:r>
      <w:r w:rsidR="0007630E" w:rsidRPr="0050741C">
        <w:rPr>
          <w:lang w:val="en-US"/>
        </w:rPr>
        <w:t xml:space="preserve">2011, 2015; Öhrström,1995; Poenaru et al. 1978; WHO 2011). </w:t>
      </w:r>
      <w:r w:rsidR="003568A4" w:rsidRPr="0050741C">
        <w:rPr>
          <w:lang w:val="en-US"/>
        </w:rPr>
        <w:t>Economic costs of noise pollution include devaluation in house prices as a result of traffic exposure, productivity losses (poor concentration, fatigue, hearing problems), as well as the cost related to premature death or morbidity (cardiovascular diseases).</w:t>
      </w:r>
      <w:r w:rsidR="00AD4D3C">
        <w:rPr>
          <w:lang w:val="en-US"/>
        </w:rPr>
        <w:t xml:space="preserve"> There is also an indirect cost linked to property prices, which are in steep decline in proximity to busy roads</w:t>
      </w:r>
      <w:r w:rsidR="00642E71" w:rsidRPr="0050741C">
        <w:rPr>
          <w:lang w:val="en-US"/>
        </w:rPr>
        <w:t xml:space="preserve"> </w:t>
      </w:r>
      <w:r w:rsidR="00AD4D3C">
        <w:rPr>
          <w:lang w:val="en-US"/>
        </w:rPr>
        <w:t>(</w:t>
      </w:r>
      <w:r w:rsidR="0019554B" w:rsidRPr="0050741C">
        <w:rPr>
          <w:lang w:val="en-US"/>
        </w:rPr>
        <w:t>Łowicki &amp; Piotrowska 2015).</w:t>
      </w:r>
    </w:p>
    <w:p w14:paraId="2BADAE1C" w14:textId="77777777" w:rsidR="00A30651" w:rsidRPr="0050741C" w:rsidRDefault="00A30651" w:rsidP="00901DF3">
      <w:pPr>
        <w:spacing w:line="480" w:lineRule="auto"/>
        <w:jc w:val="both"/>
        <w:rPr>
          <w:lang w:val="en-US"/>
        </w:rPr>
      </w:pPr>
    </w:p>
    <w:p w14:paraId="40FD2ED4" w14:textId="2E918916" w:rsidR="00145A05" w:rsidRPr="0050741C" w:rsidRDefault="0007630E" w:rsidP="00901DF3">
      <w:pPr>
        <w:spacing w:line="480" w:lineRule="auto"/>
        <w:jc w:val="both"/>
        <w:rPr>
          <w:lang w:val="en-US"/>
        </w:rPr>
      </w:pPr>
      <w:r w:rsidRPr="0050741C">
        <w:rPr>
          <w:lang w:val="en-US"/>
        </w:rPr>
        <w:t xml:space="preserve">Exposure to noise pollution is </w:t>
      </w:r>
      <w:r w:rsidR="003568A4" w:rsidRPr="0050741C">
        <w:rPr>
          <w:lang w:val="en-US"/>
        </w:rPr>
        <w:t xml:space="preserve">a </w:t>
      </w:r>
      <w:r w:rsidRPr="0050741C">
        <w:rPr>
          <w:lang w:val="en-US"/>
        </w:rPr>
        <w:t xml:space="preserve">problem </w:t>
      </w:r>
      <w:r w:rsidR="003568A4" w:rsidRPr="0050741C">
        <w:rPr>
          <w:lang w:val="en-US"/>
        </w:rPr>
        <w:t xml:space="preserve">specifically </w:t>
      </w:r>
      <w:r w:rsidRPr="0050741C">
        <w:rPr>
          <w:lang w:val="en-US"/>
        </w:rPr>
        <w:t xml:space="preserve">in cities, with </w:t>
      </w:r>
      <w:r w:rsidR="00AD4D3C">
        <w:rPr>
          <w:lang w:val="en-US"/>
        </w:rPr>
        <w:t xml:space="preserve">estimates </w:t>
      </w:r>
      <w:r w:rsidRPr="0050741C">
        <w:rPr>
          <w:lang w:val="en-US"/>
        </w:rPr>
        <w:t xml:space="preserve">that 40% of the </w:t>
      </w:r>
      <w:r w:rsidR="00AD4D3C">
        <w:rPr>
          <w:lang w:val="en-US"/>
        </w:rPr>
        <w:t xml:space="preserve">EU </w:t>
      </w:r>
      <w:r w:rsidRPr="0050741C">
        <w:rPr>
          <w:lang w:val="en-US"/>
        </w:rPr>
        <w:t xml:space="preserve">population are exposed to </w:t>
      </w:r>
      <w:r w:rsidR="00AD4D3C">
        <w:rPr>
          <w:lang w:val="en-US"/>
        </w:rPr>
        <w:t xml:space="preserve">road </w:t>
      </w:r>
      <w:r w:rsidRPr="0050741C">
        <w:rPr>
          <w:lang w:val="en-US"/>
        </w:rPr>
        <w:t>noi</w:t>
      </w:r>
      <w:r w:rsidR="003568A4" w:rsidRPr="0050741C">
        <w:rPr>
          <w:lang w:val="en-US"/>
        </w:rPr>
        <w:t xml:space="preserve">se </w:t>
      </w:r>
      <w:r w:rsidR="00AD4D3C">
        <w:rPr>
          <w:lang w:val="en-US"/>
        </w:rPr>
        <w:t>exceeding</w:t>
      </w:r>
      <w:r w:rsidRPr="0050741C">
        <w:rPr>
          <w:lang w:val="en-US"/>
        </w:rPr>
        <w:t xml:space="preserve"> </w:t>
      </w:r>
      <w:r w:rsidR="003568A4" w:rsidRPr="0050741C">
        <w:rPr>
          <w:lang w:val="en-US"/>
        </w:rPr>
        <w:t xml:space="preserve">the safe health limit of 55 dB(A) </w:t>
      </w:r>
      <w:r w:rsidRPr="0050741C">
        <w:rPr>
          <w:lang w:val="en-US"/>
        </w:rPr>
        <w:t xml:space="preserve">(WHO 1999). </w:t>
      </w:r>
      <w:r w:rsidR="00AD4D3C">
        <w:rPr>
          <w:lang w:val="en-US"/>
        </w:rPr>
        <w:t>As many as</w:t>
      </w:r>
      <w:r w:rsidR="00A30651" w:rsidRPr="0050741C">
        <w:rPr>
          <w:lang w:val="en-US"/>
        </w:rPr>
        <w:t xml:space="preserve"> “one million healthy life years are lost every year from traffic-related noise in the western part of Europe”</w:t>
      </w:r>
      <w:r w:rsidR="00AD4D3C">
        <w:rPr>
          <w:lang w:val="en-US"/>
        </w:rPr>
        <w:t xml:space="preserve"> (</w:t>
      </w:r>
      <w:r w:rsidR="00AD4D3C" w:rsidRPr="0050741C">
        <w:rPr>
          <w:lang w:val="en-US"/>
        </w:rPr>
        <w:t>WHO 2011: v</w:t>
      </w:r>
      <w:r w:rsidR="00AD4D3C">
        <w:rPr>
          <w:lang w:val="en-US"/>
        </w:rPr>
        <w:t>)</w:t>
      </w:r>
      <w:r w:rsidR="00A30651" w:rsidRPr="0050741C">
        <w:rPr>
          <w:lang w:val="en-US"/>
        </w:rPr>
        <w:t xml:space="preserve">. </w:t>
      </w:r>
      <w:r w:rsidR="00AD4D3C">
        <w:rPr>
          <w:lang w:val="en-US"/>
        </w:rPr>
        <w:t xml:space="preserve">The </w:t>
      </w:r>
      <w:r w:rsidR="00130F79" w:rsidRPr="0050741C">
        <w:rPr>
          <w:lang w:val="en-US"/>
        </w:rPr>
        <w:t xml:space="preserve">calculation of </w:t>
      </w:r>
      <w:r w:rsidR="00AA7B41" w:rsidRPr="0050741C">
        <w:rPr>
          <w:lang w:val="en-US"/>
        </w:rPr>
        <w:t xml:space="preserve">noise impacts is complex </w:t>
      </w:r>
      <w:r w:rsidR="00352A83" w:rsidRPr="0050741C">
        <w:rPr>
          <w:lang w:val="en-US"/>
        </w:rPr>
        <w:t xml:space="preserve">and it is difficult to average costs, which depend on </w:t>
      </w:r>
      <w:r w:rsidR="00AA7B41" w:rsidRPr="0050741C">
        <w:rPr>
          <w:lang w:val="en-US"/>
        </w:rPr>
        <w:t>critical</w:t>
      </w:r>
      <w:r w:rsidR="00352A83" w:rsidRPr="0050741C">
        <w:rPr>
          <w:lang w:val="en-US"/>
        </w:rPr>
        <w:t xml:space="preserve"> noise level</w:t>
      </w:r>
      <w:r w:rsidR="00AA7B41" w:rsidRPr="0050741C">
        <w:rPr>
          <w:lang w:val="en-US"/>
        </w:rPr>
        <w:t xml:space="preserve">s above 55 </w:t>
      </w:r>
      <w:r w:rsidR="00AA7B41" w:rsidRPr="0050741C">
        <w:rPr>
          <w:lang w:val="en-US"/>
        </w:rPr>
        <w:lastRenderedPageBreak/>
        <w:t>dB(A)</w:t>
      </w:r>
      <w:r w:rsidR="00352A83" w:rsidRPr="0050741C">
        <w:rPr>
          <w:lang w:val="en-US"/>
        </w:rPr>
        <w:t xml:space="preserve"> and population exposure during specific periods of the day</w:t>
      </w:r>
      <w:r w:rsidR="00AD4D3C">
        <w:rPr>
          <w:lang w:val="en-US"/>
        </w:rPr>
        <w:t xml:space="preserve"> (</w:t>
      </w:r>
      <w:r w:rsidR="00AD4D3C" w:rsidRPr="0050741C">
        <w:rPr>
          <w:lang w:val="en-US"/>
        </w:rPr>
        <w:t>Korzhenevych et al. 2014)</w:t>
      </w:r>
      <w:r w:rsidR="00352A83" w:rsidRPr="0050741C">
        <w:rPr>
          <w:lang w:val="en-US"/>
        </w:rPr>
        <w:t xml:space="preserve">. </w:t>
      </w:r>
      <w:r w:rsidR="00723B25" w:rsidRPr="0050741C">
        <w:rPr>
          <w:lang w:val="en-US"/>
        </w:rPr>
        <w:t>The EEA (2017b) concludes that in the EU28</w:t>
      </w:r>
      <w:r w:rsidR="00711E21" w:rsidRPr="0050741C">
        <w:rPr>
          <w:lang w:val="en-US"/>
        </w:rPr>
        <w:t xml:space="preserve">, noise is responsible for 16,000 premature deaths, and 32 million adults annoyed by noise, as well as a further 13 million suffering from sleep disturbance. </w:t>
      </w:r>
      <w:r w:rsidR="00AD4D3C">
        <w:rPr>
          <w:lang w:val="en-US"/>
        </w:rPr>
        <w:t>Noise</w:t>
      </w:r>
      <w:r w:rsidR="00E8158D" w:rsidRPr="0050741C">
        <w:rPr>
          <w:lang w:val="en-US"/>
        </w:rPr>
        <w:t xml:space="preserve"> cost </w:t>
      </w:r>
      <w:r w:rsidR="00AD4D3C">
        <w:rPr>
          <w:lang w:val="en-US"/>
        </w:rPr>
        <w:t>includes</w:t>
      </w:r>
      <w:r w:rsidR="00E8158D" w:rsidRPr="0050741C">
        <w:rPr>
          <w:lang w:val="en-US"/>
        </w:rPr>
        <w:t xml:space="preserve"> amenity value loss (property prices), treatment costs for health, sick days, as well as premature deaths.</w:t>
      </w:r>
      <w:r w:rsidR="00AA7B41" w:rsidRPr="0050741C">
        <w:rPr>
          <w:lang w:val="en-US"/>
        </w:rPr>
        <w:t xml:space="preserve"> </w:t>
      </w:r>
    </w:p>
    <w:p w14:paraId="3F7303E2" w14:textId="77777777" w:rsidR="00906175" w:rsidRPr="0050741C" w:rsidRDefault="00906175" w:rsidP="00901DF3">
      <w:pPr>
        <w:spacing w:line="480" w:lineRule="auto"/>
        <w:jc w:val="both"/>
        <w:rPr>
          <w:lang w:val="en-US"/>
        </w:rPr>
      </w:pPr>
    </w:p>
    <w:p w14:paraId="630B5762" w14:textId="3BB550FD" w:rsidR="00906175" w:rsidRPr="0050741C" w:rsidRDefault="000C053F" w:rsidP="00901DF3">
      <w:pPr>
        <w:spacing w:line="480" w:lineRule="auto"/>
        <w:rPr>
          <w:i/>
          <w:lang w:val="en-US"/>
        </w:rPr>
      </w:pPr>
      <w:r w:rsidRPr="0050741C">
        <w:rPr>
          <w:i/>
          <w:lang w:val="en-US"/>
        </w:rPr>
        <w:t>1.</w:t>
      </w:r>
      <w:r w:rsidR="00906175" w:rsidRPr="0050741C">
        <w:rPr>
          <w:i/>
          <w:lang w:val="en-US"/>
        </w:rPr>
        <w:t>4 Soil and water quality</w:t>
      </w:r>
    </w:p>
    <w:p w14:paraId="3A68D6F5" w14:textId="21308CEB" w:rsidR="00906175" w:rsidRPr="0050741C" w:rsidRDefault="00906175" w:rsidP="00901DF3">
      <w:pPr>
        <w:spacing w:line="480" w:lineRule="auto"/>
        <w:jc w:val="both"/>
        <w:rPr>
          <w:lang w:val="en-US"/>
        </w:rPr>
      </w:pPr>
      <w:r w:rsidRPr="0050741C">
        <w:rPr>
          <w:lang w:val="en-US"/>
        </w:rPr>
        <w:t xml:space="preserve">The construction and maintenance of transport systems, the production of transport modes, as well as fuel burn </w:t>
      </w:r>
      <w:r w:rsidR="009A34E3">
        <w:rPr>
          <w:lang w:val="en-US"/>
        </w:rPr>
        <w:t>lead</w:t>
      </w:r>
      <w:r w:rsidRPr="0050741C">
        <w:rPr>
          <w:lang w:val="en-US"/>
        </w:rPr>
        <w:t xml:space="preserve"> to the pollution of ground water and soils. This includes pollutants released to soil</w:t>
      </w:r>
      <w:r w:rsidR="009A34E3">
        <w:rPr>
          <w:lang w:val="en-US"/>
        </w:rPr>
        <w:t>, water bodies</w:t>
      </w:r>
      <w:r w:rsidRPr="0050741C">
        <w:rPr>
          <w:lang w:val="en-US"/>
        </w:rPr>
        <w:t xml:space="preserve"> and groundwater</w:t>
      </w:r>
      <w:r w:rsidR="009A34E3">
        <w:rPr>
          <w:lang w:val="en-US"/>
        </w:rPr>
        <w:t>,</w:t>
      </w:r>
      <w:r w:rsidRPr="0050741C">
        <w:rPr>
          <w:lang w:val="en-US"/>
        </w:rPr>
        <w:t xml:space="preserve"> such as hydrocarbons, non-gaseous exhaust, heavy metal particulates from the wear of mechanical components such as brake pads, as well as salt and gravel used for anti-icing</w:t>
      </w:r>
      <w:r w:rsidR="009A34E3">
        <w:rPr>
          <w:lang w:val="en-US"/>
        </w:rPr>
        <w:t xml:space="preserve"> or </w:t>
      </w:r>
      <w:r w:rsidRPr="0050741C">
        <w:rPr>
          <w:lang w:val="en-US"/>
        </w:rPr>
        <w:t xml:space="preserve">winter maintenance (e.g. Sörme </w:t>
      </w:r>
      <w:r w:rsidR="004C52FE">
        <w:rPr>
          <w:lang w:val="en-US"/>
        </w:rPr>
        <w:t xml:space="preserve">&amp; </w:t>
      </w:r>
      <w:r w:rsidRPr="0050741C">
        <w:rPr>
          <w:lang w:val="en-US"/>
        </w:rPr>
        <w:t>Lagerkvist</w:t>
      </w:r>
      <w:r w:rsidR="00374D0D" w:rsidRPr="0050741C">
        <w:rPr>
          <w:lang w:val="en-US"/>
        </w:rPr>
        <w:t>,</w:t>
      </w:r>
      <w:r w:rsidRPr="0050741C">
        <w:rPr>
          <w:lang w:val="en-US"/>
        </w:rPr>
        <w:t xml:space="preserve"> 2002). Additionally, impacts related to increased storm water runoff from impervious surfaces such as concrete and asphalt must be considered. </w:t>
      </w:r>
    </w:p>
    <w:p w14:paraId="4BFA5FDE" w14:textId="77777777" w:rsidR="00145A05" w:rsidRPr="0050741C" w:rsidRDefault="00145A05" w:rsidP="00901DF3">
      <w:pPr>
        <w:spacing w:line="480" w:lineRule="auto"/>
        <w:jc w:val="both"/>
        <w:rPr>
          <w:lang w:val="en-US"/>
        </w:rPr>
      </w:pPr>
    </w:p>
    <w:p w14:paraId="7EA13B5D" w14:textId="74CFA936" w:rsidR="0007630E" w:rsidRPr="0050741C" w:rsidRDefault="000C053F" w:rsidP="00901DF3">
      <w:pPr>
        <w:spacing w:line="480" w:lineRule="auto"/>
        <w:outlineLvl w:val="0"/>
        <w:rPr>
          <w:i/>
          <w:lang w:val="en-US"/>
        </w:rPr>
      </w:pPr>
      <w:r w:rsidRPr="0050741C">
        <w:rPr>
          <w:i/>
          <w:lang w:val="en-US"/>
        </w:rPr>
        <w:t>1.</w:t>
      </w:r>
      <w:r w:rsidR="00906175" w:rsidRPr="0050741C">
        <w:rPr>
          <w:i/>
          <w:lang w:val="en-US"/>
        </w:rPr>
        <w:t>5</w:t>
      </w:r>
      <w:r w:rsidR="00FD3D4A" w:rsidRPr="0050741C">
        <w:rPr>
          <w:i/>
          <w:lang w:val="en-US"/>
        </w:rPr>
        <w:t xml:space="preserve"> </w:t>
      </w:r>
      <w:r w:rsidR="0007630E" w:rsidRPr="0050741C">
        <w:rPr>
          <w:i/>
          <w:lang w:val="en-US"/>
        </w:rPr>
        <w:t>Land use</w:t>
      </w:r>
      <w:r w:rsidR="00E05FD0" w:rsidRPr="0050741C">
        <w:rPr>
          <w:i/>
          <w:lang w:val="en-US"/>
        </w:rPr>
        <w:t xml:space="preserve"> </w:t>
      </w:r>
      <w:r w:rsidR="00BC3605" w:rsidRPr="0050741C">
        <w:rPr>
          <w:i/>
          <w:lang w:val="en-US"/>
        </w:rPr>
        <w:t>and infrastructure</w:t>
      </w:r>
    </w:p>
    <w:p w14:paraId="1348F5BB" w14:textId="71C607C7" w:rsidR="001342E6" w:rsidRPr="0050741C" w:rsidRDefault="0007630E" w:rsidP="00901DF3">
      <w:pPr>
        <w:spacing w:line="480" w:lineRule="auto"/>
        <w:jc w:val="both"/>
        <w:rPr>
          <w:lang w:val="en-US"/>
        </w:rPr>
      </w:pPr>
      <w:r w:rsidRPr="0050741C">
        <w:rPr>
          <w:lang w:val="en-US"/>
        </w:rPr>
        <w:t>Space requirements for</w:t>
      </w:r>
      <w:r w:rsidR="00174368" w:rsidRPr="0050741C">
        <w:rPr>
          <w:lang w:val="en-US"/>
        </w:rPr>
        <w:t xml:space="preserve"> transport</w:t>
      </w:r>
      <w:r w:rsidRPr="0050741C">
        <w:rPr>
          <w:lang w:val="en-US"/>
        </w:rPr>
        <w:t xml:space="preserve"> infrastructure, including parking</w:t>
      </w:r>
      <w:r w:rsidR="00303D0B" w:rsidRPr="0050741C">
        <w:rPr>
          <w:lang w:val="en-US"/>
        </w:rPr>
        <w:t>, are considerable</w:t>
      </w:r>
      <w:r w:rsidR="00174368" w:rsidRPr="0050741C">
        <w:rPr>
          <w:lang w:val="en-US"/>
        </w:rPr>
        <w:t xml:space="preserve"> (IEA 2013)</w:t>
      </w:r>
      <w:r w:rsidR="00303D0B" w:rsidRPr="0050741C">
        <w:rPr>
          <w:lang w:val="en-US"/>
        </w:rPr>
        <w:t xml:space="preserve">. </w:t>
      </w:r>
      <w:r w:rsidR="00A56734" w:rsidRPr="0050741C">
        <w:rPr>
          <w:lang w:val="en-US"/>
        </w:rPr>
        <w:t>Land use represents a negative externality as a result of land lost for other purposes, such as agriculture, as well as its value for</w:t>
      </w:r>
      <w:r w:rsidR="00E63137" w:rsidRPr="0050741C">
        <w:rPr>
          <w:lang w:val="en-US"/>
        </w:rPr>
        <w:t xml:space="preserve"> ecosystem services (</w:t>
      </w:r>
      <w:r w:rsidR="00B3297F" w:rsidRPr="0050741C">
        <w:rPr>
          <w:lang w:val="en-US"/>
        </w:rPr>
        <w:t>Daily 1997)</w:t>
      </w:r>
      <w:r w:rsidR="00E63137" w:rsidRPr="0050741C">
        <w:rPr>
          <w:lang w:val="en-US"/>
        </w:rPr>
        <w:t>.</w:t>
      </w:r>
      <w:r w:rsidR="00A56734" w:rsidRPr="0050741C">
        <w:rPr>
          <w:lang w:val="en-US"/>
        </w:rPr>
        <w:t xml:space="preserve"> </w:t>
      </w:r>
      <w:r w:rsidR="005A3AF0">
        <w:rPr>
          <w:lang w:val="en-US"/>
        </w:rPr>
        <w:t xml:space="preserve">Land is </w:t>
      </w:r>
      <w:r w:rsidR="00B3297F" w:rsidRPr="0050741C">
        <w:rPr>
          <w:lang w:val="en-US"/>
        </w:rPr>
        <w:t>often provided for free</w:t>
      </w:r>
      <w:r w:rsidR="005A3AF0">
        <w:rPr>
          <w:lang w:val="en-US"/>
        </w:rPr>
        <w:t>, for instance in the form of parking</w:t>
      </w:r>
      <w:r w:rsidR="00B3297F" w:rsidRPr="0050741C">
        <w:rPr>
          <w:lang w:val="en-US"/>
        </w:rPr>
        <w:t xml:space="preserve"> (Shoup 2011). Road land should consequently be priced and taxed at the same rate as for competing uses</w:t>
      </w:r>
      <w:r w:rsidR="005A3AF0">
        <w:rPr>
          <w:lang w:val="en-US"/>
        </w:rPr>
        <w:t xml:space="preserve"> (Litman </w:t>
      </w:r>
      <w:r w:rsidR="004C52FE">
        <w:rPr>
          <w:lang w:val="en-US"/>
        </w:rPr>
        <w:t xml:space="preserve">&amp; </w:t>
      </w:r>
      <w:r w:rsidR="005A3AF0">
        <w:rPr>
          <w:lang w:val="en-US"/>
        </w:rPr>
        <w:t>Doherty 2011)</w:t>
      </w:r>
      <w:r w:rsidR="00B3297F" w:rsidRPr="0050741C">
        <w:rPr>
          <w:lang w:val="en-US"/>
        </w:rPr>
        <w:t xml:space="preserve">. </w:t>
      </w:r>
      <w:r w:rsidR="00A778D0" w:rsidRPr="0050741C">
        <w:rPr>
          <w:lang w:val="en-US"/>
        </w:rPr>
        <w:t xml:space="preserve">The cost of land use can be calculated on the basis of a forecast of the land needed (annually) for additional infrastructure, including both the cost of land and infrastructure construction. </w:t>
      </w:r>
      <w:r w:rsidR="00703D3A" w:rsidRPr="0050741C">
        <w:rPr>
          <w:bCs/>
          <w:lang w:val="en-US"/>
        </w:rPr>
        <w:t>The International Energy Agency suggests that road, rail and parking infrastructure by 2050 is expected to account for between 250,000 km</w:t>
      </w:r>
      <w:r w:rsidR="00703D3A" w:rsidRPr="0050741C">
        <w:rPr>
          <w:bCs/>
          <w:vertAlign w:val="superscript"/>
          <w:lang w:val="en-US"/>
        </w:rPr>
        <w:t>2</w:t>
      </w:r>
      <w:r w:rsidR="00703D3A" w:rsidRPr="0050741C">
        <w:rPr>
          <w:bCs/>
          <w:lang w:val="en-US"/>
        </w:rPr>
        <w:t xml:space="preserve"> and 350,000 km</w:t>
      </w:r>
      <w:r w:rsidR="00703D3A" w:rsidRPr="0050741C">
        <w:rPr>
          <w:bCs/>
          <w:vertAlign w:val="superscript"/>
          <w:lang w:val="en-US"/>
        </w:rPr>
        <w:t>2</w:t>
      </w:r>
      <w:r w:rsidR="00703D3A" w:rsidRPr="0050741C">
        <w:rPr>
          <w:bCs/>
          <w:lang w:val="en-US"/>
        </w:rPr>
        <w:t xml:space="preserve"> of </w:t>
      </w:r>
      <w:r w:rsidR="00703D3A" w:rsidRPr="0050741C">
        <w:rPr>
          <w:bCs/>
          <w:lang w:val="en-US"/>
        </w:rPr>
        <w:lastRenderedPageBreak/>
        <w:t>built surface area (IEA</w:t>
      </w:r>
      <w:r w:rsidR="00374D0D" w:rsidRPr="0050741C">
        <w:rPr>
          <w:bCs/>
          <w:lang w:val="en-US"/>
        </w:rPr>
        <w:t>,</w:t>
      </w:r>
      <w:r w:rsidR="00703D3A" w:rsidRPr="0050741C">
        <w:rPr>
          <w:bCs/>
          <w:lang w:val="en-US"/>
        </w:rPr>
        <w:t xml:space="preserve"> 2013). By 2050, under the IEA’s 4DS scenario, in which light duty vehicle travel increases to 43 trillion vehicle </w:t>
      </w:r>
      <w:r w:rsidR="00CB5133" w:rsidRPr="0050741C">
        <w:rPr>
          <w:bCs/>
          <w:lang w:val="en-US"/>
        </w:rPr>
        <w:t>kilometers</w:t>
      </w:r>
      <w:r w:rsidR="00703D3A" w:rsidRPr="0050741C">
        <w:rPr>
          <w:bCs/>
          <w:lang w:val="en-US"/>
        </w:rPr>
        <w:t>, 25 million paved road km</w:t>
      </w:r>
      <w:r w:rsidR="004C52FE">
        <w:rPr>
          <w:bCs/>
          <w:lang w:val="en-US"/>
        </w:rPr>
        <w:t>,</w:t>
      </w:r>
      <w:r w:rsidR="00703D3A" w:rsidRPr="0050741C">
        <w:rPr>
          <w:bCs/>
          <w:lang w:val="en-US"/>
        </w:rPr>
        <w:t xml:space="preserve"> as well as 44,500 km</w:t>
      </w:r>
      <w:r w:rsidR="00703D3A" w:rsidRPr="0050741C">
        <w:rPr>
          <w:bCs/>
          <w:vertAlign w:val="superscript"/>
          <w:lang w:val="en-US"/>
        </w:rPr>
        <w:t>2</w:t>
      </w:r>
      <w:r w:rsidR="00703D3A" w:rsidRPr="0050741C">
        <w:rPr>
          <w:bCs/>
          <w:lang w:val="en-US"/>
        </w:rPr>
        <w:t xml:space="preserve"> of parking space will be added to existing traffic infrastructure. </w:t>
      </w:r>
    </w:p>
    <w:p w14:paraId="1941CABD" w14:textId="77777777" w:rsidR="00D30D2D" w:rsidRPr="0050741C" w:rsidRDefault="00D30D2D" w:rsidP="00901DF3">
      <w:pPr>
        <w:spacing w:line="480" w:lineRule="auto"/>
        <w:jc w:val="both"/>
        <w:rPr>
          <w:lang w:val="en-US"/>
        </w:rPr>
      </w:pPr>
    </w:p>
    <w:p w14:paraId="2AF3885C" w14:textId="2D72BFAE" w:rsidR="00EA6288" w:rsidRPr="0050741C" w:rsidRDefault="000C053F" w:rsidP="00901DF3">
      <w:pPr>
        <w:spacing w:line="480" w:lineRule="auto"/>
        <w:rPr>
          <w:i/>
          <w:lang w:val="en-US"/>
        </w:rPr>
      </w:pPr>
      <w:r w:rsidRPr="0050741C">
        <w:rPr>
          <w:i/>
          <w:lang w:val="en-US"/>
        </w:rPr>
        <w:t>1.</w:t>
      </w:r>
      <w:r w:rsidR="00906175" w:rsidRPr="0050741C">
        <w:rPr>
          <w:i/>
          <w:lang w:val="en-US"/>
        </w:rPr>
        <w:t>6</w:t>
      </w:r>
      <w:r w:rsidR="00EA6288" w:rsidRPr="0050741C">
        <w:rPr>
          <w:i/>
          <w:lang w:val="en-US"/>
        </w:rPr>
        <w:t xml:space="preserve"> Traffic infrastructure maintenance</w:t>
      </w:r>
    </w:p>
    <w:p w14:paraId="0FBE60B4" w14:textId="14E8BF4A" w:rsidR="003E1D88" w:rsidRPr="0050741C" w:rsidRDefault="00EA6288" w:rsidP="00901DF3">
      <w:pPr>
        <w:spacing w:line="480" w:lineRule="auto"/>
        <w:jc w:val="both"/>
        <w:rPr>
          <w:bCs/>
          <w:lang w:val="en-US"/>
        </w:rPr>
      </w:pPr>
      <w:r w:rsidRPr="0050741C">
        <w:rPr>
          <w:lang w:val="en-US"/>
        </w:rPr>
        <w:t>The cost of traffic infrastructure maintenance comprises constructions, major repairs, renewal, and construction maintenance, winter maintenance, marking, cleaning, cutting, checks, as well as administrative tasks, such as traffic control</w:t>
      </w:r>
      <w:r w:rsidR="004C52FE">
        <w:rPr>
          <w:lang w:val="en-US"/>
        </w:rPr>
        <w:t xml:space="preserve"> (Litman &amp; Doherty 2011)</w:t>
      </w:r>
      <w:r w:rsidRPr="0050741C">
        <w:rPr>
          <w:lang w:val="en-US"/>
        </w:rPr>
        <w:t>.</w:t>
      </w:r>
      <w:r w:rsidR="003E1D88" w:rsidRPr="0050741C">
        <w:rPr>
          <w:bCs/>
          <w:lang w:val="en-US"/>
        </w:rPr>
        <w:t xml:space="preserve"> In contrast to road infrastructure demand, which is largely driven by growth in vehicle numbers, road maintenance needs arise mostly out of freight transportation, as a result of the greater weight of trucks and their disproportionally larger impact on roads (Small </w:t>
      </w:r>
      <w:r w:rsidR="004C52FE">
        <w:rPr>
          <w:bCs/>
          <w:lang w:val="en-US"/>
        </w:rPr>
        <w:t>&amp;</w:t>
      </w:r>
      <w:r w:rsidR="003E1D88" w:rsidRPr="0050741C">
        <w:rPr>
          <w:bCs/>
          <w:lang w:val="en-US"/>
        </w:rPr>
        <w:t xml:space="preserve"> Winston</w:t>
      </w:r>
      <w:r w:rsidR="00374D0D" w:rsidRPr="0050741C">
        <w:rPr>
          <w:bCs/>
          <w:lang w:val="en-US"/>
        </w:rPr>
        <w:t>,</w:t>
      </w:r>
      <w:r w:rsidR="003E1D88" w:rsidRPr="0050741C">
        <w:rPr>
          <w:bCs/>
          <w:lang w:val="en-US"/>
        </w:rPr>
        <w:t xml:space="preserve"> 1988). As data for the US suggests, total highway expenditures consist of maintenance &amp; operations (26%), highway capacity expansion (23%), reconstruction, rehabilitation and restoration (19%), administration (9%), patrol and safety (8%), local road capital improvements (8%), interest on debt (4%) </w:t>
      </w:r>
      <w:r w:rsidR="00374D0D" w:rsidRPr="0050741C">
        <w:rPr>
          <w:bCs/>
          <w:lang w:val="en-US"/>
        </w:rPr>
        <w:t>and other (3%) (</w:t>
      </w:r>
      <w:r w:rsidR="00841824">
        <w:rPr>
          <w:bCs/>
          <w:lang w:val="en-US"/>
        </w:rPr>
        <w:t xml:space="preserve">Litman </w:t>
      </w:r>
      <w:r w:rsidR="004C52FE">
        <w:rPr>
          <w:bCs/>
          <w:lang w:val="en-US"/>
        </w:rPr>
        <w:t>&amp;</w:t>
      </w:r>
      <w:r w:rsidR="00841824">
        <w:rPr>
          <w:bCs/>
          <w:lang w:val="en-US"/>
        </w:rPr>
        <w:t xml:space="preserve"> Doherty</w:t>
      </w:r>
      <w:r w:rsidR="00374D0D" w:rsidRPr="0050741C">
        <w:rPr>
          <w:bCs/>
          <w:lang w:val="en-US"/>
        </w:rPr>
        <w:t>, 201</w:t>
      </w:r>
      <w:r w:rsidR="00841824">
        <w:rPr>
          <w:bCs/>
          <w:lang w:val="en-US"/>
        </w:rPr>
        <w:t>1</w:t>
      </w:r>
      <w:r w:rsidR="003E1D88" w:rsidRPr="0050741C">
        <w:rPr>
          <w:bCs/>
          <w:lang w:val="en-US"/>
        </w:rPr>
        <w:t xml:space="preserve">). </w:t>
      </w:r>
    </w:p>
    <w:p w14:paraId="685BF5DA" w14:textId="6D40E38B" w:rsidR="00EA6288" w:rsidRPr="0050741C" w:rsidRDefault="00EA6288" w:rsidP="00901DF3">
      <w:pPr>
        <w:spacing w:line="480" w:lineRule="auto"/>
        <w:jc w:val="both"/>
        <w:rPr>
          <w:lang w:val="en-US"/>
        </w:rPr>
      </w:pPr>
      <w:r w:rsidRPr="0050741C">
        <w:rPr>
          <w:lang w:val="en-US"/>
        </w:rPr>
        <w:t xml:space="preserve"> </w:t>
      </w:r>
    </w:p>
    <w:p w14:paraId="3EB60130" w14:textId="251A444E" w:rsidR="0007630E" w:rsidRPr="0050741C" w:rsidRDefault="000C053F" w:rsidP="00901DF3">
      <w:pPr>
        <w:spacing w:line="480" w:lineRule="auto"/>
        <w:rPr>
          <w:i/>
          <w:lang w:val="en-US"/>
        </w:rPr>
      </w:pPr>
      <w:r w:rsidRPr="0050741C">
        <w:rPr>
          <w:i/>
          <w:lang w:val="en-US"/>
        </w:rPr>
        <w:t>1.</w:t>
      </w:r>
      <w:r w:rsidR="00EA6288" w:rsidRPr="0050741C">
        <w:rPr>
          <w:i/>
          <w:lang w:val="en-US"/>
        </w:rPr>
        <w:t>7</w:t>
      </w:r>
      <w:r w:rsidR="00FD3D4A" w:rsidRPr="0050741C">
        <w:rPr>
          <w:i/>
          <w:lang w:val="en-US"/>
        </w:rPr>
        <w:t xml:space="preserve"> </w:t>
      </w:r>
      <w:r w:rsidR="0007630E" w:rsidRPr="0050741C">
        <w:rPr>
          <w:i/>
          <w:lang w:val="en-US"/>
        </w:rPr>
        <w:t>Resource requirements</w:t>
      </w:r>
    </w:p>
    <w:p w14:paraId="182A9BC7" w14:textId="2C2B809B" w:rsidR="00177B38" w:rsidRPr="0050741C" w:rsidRDefault="00625A2A" w:rsidP="00901DF3">
      <w:pPr>
        <w:spacing w:line="480" w:lineRule="auto"/>
        <w:jc w:val="both"/>
        <w:rPr>
          <w:lang w:val="en-US"/>
        </w:rPr>
      </w:pPr>
      <w:r w:rsidRPr="0050741C">
        <w:rPr>
          <w:lang w:val="en-US"/>
        </w:rPr>
        <w:t>Resource requirements</w:t>
      </w:r>
      <w:r w:rsidR="00097AAC" w:rsidRPr="0050741C">
        <w:rPr>
          <w:lang w:val="en-US"/>
        </w:rPr>
        <w:t xml:space="preserve">, or </w:t>
      </w:r>
      <w:r w:rsidR="001361F2">
        <w:rPr>
          <w:lang w:val="en-US"/>
        </w:rPr>
        <w:t xml:space="preserve">the </w:t>
      </w:r>
      <w:r w:rsidR="00097AAC" w:rsidRPr="0050741C">
        <w:rPr>
          <w:lang w:val="en-US"/>
        </w:rPr>
        <w:t>cost related to</w:t>
      </w:r>
      <w:r w:rsidR="00695946" w:rsidRPr="0050741C">
        <w:rPr>
          <w:lang w:val="en-US"/>
        </w:rPr>
        <w:t xml:space="preserve"> </w:t>
      </w:r>
      <w:r w:rsidRPr="0050741C">
        <w:rPr>
          <w:lang w:val="en-US"/>
        </w:rPr>
        <w:t xml:space="preserve">up and downstream </w:t>
      </w:r>
      <w:r w:rsidR="00097AAC" w:rsidRPr="0050741C">
        <w:rPr>
          <w:lang w:val="en-US"/>
        </w:rPr>
        <w:t>processes, refer to the r</w:t>
      </w:r>
      <w:r w:rsidR="0007630E" w:rsidRPr="0050741C">
        <w:rPr>
          <w:lang w:val="en-US"/>
        </w:rPr>
        <w:t>esources needed to build cars/bicycles</w:t>
      </w:r>
      <w:r w:rsidR="00833C7B" w:rsidRPr="0050741C">
        <w:rPr>
          <w:lang w:val="en-US"/>
        </w:rPr>
        <w:t xml:space="preserve"> and transport infrastructure</w:t>
      </w:r>
      <w:r w:rsidR="001332A8" w:rsidRPr="0050741C">
        <w:rPr>
          <w:lang w:val="en-US"/>
        </w:rPr>
        <w:t>, including all energy requirements on a lifecycle basis</w:t>
      </w:r>
      <w:r w:rsidR="0007630E" w:rsidRPr="0050741C">
        <w:rPr>
          <w:lang w:val="en-US"/>
        </w:rPr>
        <w:t>, the cost to</w:t>
      </w:r>
      <w:r w:rsidR="001332A8" w:rsidRPr="0050741C">
        <w:rPr>
          <w:lang w:val="en-US"/>
        </w:rPr>
        <w:t xml:space="preserve"> maintain vehicles</w:t>
      </w:r>
      <w:r w:rsidR="00EA6288" w:rsidRPr="0050741C">
        <w:rPr>
          <w:lang w:val="en-US"/>
        </w:rPr>
        <w:t xml:space="preserve"> or bicycles</w:t>
      </w:r>
      <w:r w:rsidR="001332A8" w:rsidRPr="0050741C">
        <w:rPr>
          <w:lang w:val="en-US"/>
        </w:rPr>
        <w:t>, to</w:t>
      </w:r>
      <w:r w:rsidR="0007630E" w:rsidRPr="0050741C">
        <w:rPr>
          <w:lang w:val="en-US"/>
        </w:rPr>
        <w:t xml:space="preserve"> recycle </w:t>
      </w:r>
      <w:r w:rsidR="00097AAC" w:rsidRPr="0050741C">
        <w:rPr>
          <w:lang w:val="en-US"/>
        </w:rPr>
        <w:t>th</w:t>
      </w:r>
      <w:r w:rsidR="001332A8" w:rsidRPr="0050741C">
        <w:rPr>
          <w:lang w:val="en-US"/>
        </w:rPr>
        <w:t>ese,</w:t>
      </w:r>
      <w:r w:rsidR="00EA4396" w:rsidRPr="0050741C">
        <w:rPr>
          <w:lang w:val="en-US"/>
        </w:rPr>
        <w:t xml:space="preserve"> and</w:t>
      </w:r>
      <w:r w:rsidR="006C40B2" w:rsidRPr="0050741C">
        <w:rPr>
          <w:lang w:val="en-US"/>
        </w:rPr>
        <w:t xml:space="preserve"> to deposit wastes. </w:t>
      </w:r>
      <w:r w:rsidR="001361F2">
        <w:rPr>
          <w:lang w:val="en-US"/>
        </w:rPr>
        <w:t>The c</w:t>
      </w:r>
      <w:r w:rsidR="00B7787F" w:rsidRPr="0050741C">
        <w:rPr>
          <w:lang w:val="en-US"/>
        </w:rPr>
        <w:t xml:space="preserve">ost </w:t>
      </w:r>
      <w:r w:rsidR="001361F2">
        <w:rPr>
          <w:lang w:val="en-US"/>
        </w:rPr>
        <w:t>of these aspects is</w:t>
      </w:r>
      <w:r w:rsidR="00B7787F" w:rsidRPr="0050741C">
        <w:rPr>
          <w:lang w:val="en-US"/>
        </w:rPr>
        <w:t xml:space="preserve"> associated with </w:t>
      </w:r>
      <w:r w:rsidR="001332A8" w:rsidRPr="0050741C">
        <w:rPr>
          <w:lang w:val="en-US"/>
        </w:rPr>
        <w:t xml:space="preserve">emissions </w:t>
      </w:r>
      <w:r w:rsidR="00B7787F" w:rsidRPr="0050741C">
        <w:rPr>
          <w:lang w:val="en-US"/>
        </w:rPr>
        <w:t>of</w:t>
      </w:r>
      <w:r w:rsidR="001332A8" w:rsidRPr="0050741C">
        <w:rPr>
          <w:lang w:val="en-US"/>
        </w:rPr>
        <w:t xml:space="preserve"> CH</w:t>
      </w:r>
      <w:r w:rsidR="001332A8" w:rsidRPr="0050741C">
        <w:rPr>
          <w:vertAlign w:val="subscript"/>
          <w:lang w:val="en-US"/>
        </w:rPr>
        <w:t>4</w:t>
      </w:r>
      <w:r w:rsidR="001332A8" w:rsidRPr="0050741C">
        <w:rPr>
          <w:lang w:val="en-US"/>
        </w:rPr>
        <w:t>, N</w:t>
      </w:r>
      <w:r w:rsidR="001332A8" w:rsidRPr="0050741C">
        <w:rPr>
          <w:vertAlign w:val="subscript"/>
          <w:lang w:val="en-US"/>
        </w:rPr>
        <w:t>2</w:t>
      </w:r>
      <w:r w:rsidR="001332A8" w:rsidRPr="0050741C">
        <w:rPr>
          <w:lang w:val="en-US"/>
        </w:rPr>
        <w:t>O, CO</w:t>
      </w:r>
      <w:r w:rsidR="001332A8" w:rsidRPr="0050741C">
        <w:rPr>
          <w:vertAlign w:val="subscript"/>
          <w:lang w:val="en-US"/>
        </w:rPr>
        <w:t>2</w:t>
      </w:r>
      <w:r w:rsidR="001332A8" w:rsidRPr="0050741C">
        <w:rPr>
          <w:lang w:val="en-US"/>
        </w:rPr>
        <w:t>, NO</w:t>
      </w:r>
      <w:r w:rsidR="001332A8" w:rsidRPr="0050741C">
        <w:rPr>
          <w:vertAlign w:val="subscript"/>
          <w:lang w:val="en-US"/>
        </w:rPr>
        <w:t>x</w:t>
      </w:r>
      <w:r w:rsidR="001332A8" w:rsidRPr="0050741C">
        <w:rPr>
          <w:lang w:val="en-US"/>
        </w:rPr>
        <w:t xml:space="preserve">, or PM. </w:t>
      </w:r>
    </w:p>
    <w:p w14:paraId="002FEEBC" w14:textId="77777777" w:rsidR="00EA6288" w:rsidRPr="0050741C" w:rsidRDefault="00EA6288" w:rsidP="00901DF3">
      <w:pPr>
        <w:spacing w:line="480" w:lineRule="auto"/>
        <w:rPr>
          <w:lang w:val="en-US"/>
        </w:rPr>
      </w:pPr>
    </w:p>
    <w:p w14:paraId="3E37DFBE" w14:textId="4ED36A00" w:rsidR="0034757B" w:rsidRPr="0050741C" w:rsidRDefault="000C053F" w:rsidP="00901DF3">
      <w:pPr>
        <w:spacing w:line="480" w:lineRule="auto"/>
        <w:rPr>
          <w:i/>
          <w:lang w:val="en-US"/>
        </w:rPr>
      </w:pPr>
      <w:r w:rsidRPr="0050741C">
        <w:rPr>
          <w:i/>
          <w:lang w:val="en-US"/>
        </w:rPr>
        <w:t>1.8</w:t>
      </w:r>
      <w:r w:rsidR="00403505" w:rsidRPr="0050741C">
        <w:rPr>
          <w:i/>
          <w:lang w:val="en-US"/>
        </w:rPr>
        <w:t xml:space="preserve"> </w:t>
      </w:r>
      <w:r w:rsidR="0034757B" w:rsidRPr="0050741C">
        <w:rPr>
          <w:i/>
          <w:lang w:val="en-US"/>
        </w:rPr>
        <w:t>Vehicle operation</w:t>
      </w:r>
    </w:p>
    <w:p w14:paraId="63597AB2" w14:textId="3F7618A0" w:rsidR="00EB6C8F" w:rsidRPr="0050741C" w:rsidRDefault="0034757B" w:rsidP="00901DF3">
      <w:pPr>
        <w:spacing w:line="480" w:lineRule="auto"/>
        <w:jc w:val="both"/>
        <w:rPr>
          <w:lang w:val="en-US"/>
        </w:rPr>
      </w:pPr>
      <w:r w:rsidRPr="0050741C">
        <w:rPr>
          <w:lang w:val="en-US"/>
        </w:rPr>
        <w:lastRenderedPageBreak/>
        <w:t xml:space="preserve">Vehicle </w:t>
      </w:r>
      <w:r w:rsidR="00417911">
        <w:rPr>
          <w:lang w:val="en-US"/>
        </w:rPr>
        <w:t>operation</w:t>
      </w:r>
      <w:r w:rsidRPr="0050741C">
        <w:rPr>
          <w:lang w:val="en-US"/>
        </w:rPr>
        <w:t xml:space="preserve"> comprise</w:t>
      </w:r>
      <w:r w:rsidR="00417911">
        <w:rPr>
          <w:lang w:val="en-US"/>
        </w:rPr>
        <w:t>s</w:t>
      </w:r>
      <w:r w:rsidRPr="0050741C">
        <w:rPr>
          <w:lang w:val="en-US"/>
        </w:rPr>
        <w:t xml:space="preserve"> the cost</w:t>
      </w:r>
      <w:r w:rsidR="009B69EF" w:rsidRPr="0050741C">
        <w:rPr>
          <w:lang w:val="en-US"/>
        </w:rPr>
        <w:t>s</w:t>
      </w:r>
      <w:r w:rsidRPr="0050741C">
        <w:rPr>
          <w:lang w:val="en-US"/>
        </w:rPr>
        <w:t xml:space="preserve"> of driving a car</w:t>
      </w:r>
      <w:r w:rsidR="00892B6A" w:rsidRPr="0050741C">
        <w:rPr>
          <w:lang w:val="en-US"/>
        </w:rPr>
        <w:t>, including</w:t>
      </w:r>
      <w:r w:rsidR="00E722C6" w:rsidRPr="0050741C">
        <w:rPr>
          <w:lang w:val="en-US"/>
        </w:rPr>
        <w:t xml:space="preserve"> fuel, oil &amp; tire wear; </w:t>
      </w:r>
      <w:r w:rsidR="00FE1796" w:rsidRPr="0050741C">
        <w:rPr>
          <w:lang w:val="en-US"/>
        </w:rPr>
        <w:t>maintenance and depreciation</w:t>
      </w:r>
      <w:r w:rsidR="00E722C6" w:rsidRPr="0050741C">
        <w:rPr>
          <w:lang w:val="en-US"/>
        </w:rPr>
        <w:t>, parking fees and road tolls; as well as financing, insurance,</w:t>
      </w:r>
      <w:r w:rsidR="00FE1796" w:rsidRPr="0050741C">
        <w:rPr>
          <w:lang w:val="en-US"/>
        </w:rPr>
        <w:t xml:space="preserve"> registration fees and taxes</w:t>
      </w:r>
      <w:r w:rsidR="00E722C6" w:rsidRPr="0050741C">
        <w:rPr>
          <w:lang w:val="en-US"/>
        </w:rPr>
        <w:t xml:space="preserve">. </w:t>
      </w:r>
    </w:p>
    <w:p w14:paraId="3963D6AF" w14:textId="77777777" w:rsidR="00EB6C8F" w:rsidRPr="0050741C" w:rsidRDefault="00EB6C8F" w:rsidP="00901DF3">
      <w:pPr>
        <w:spacing w:line="480" w:lineRule="auto"/>
        <w:jc w:val="both"/>
        <w:rPr>
          <w:lang w:val="en-US"/>
        </w:rPr>
      </w:pPr>
    </w:p>
    <w:p w14:paraId="4923AB4B" w14:textId="72DEFC21" w:rsidR="0007630E" w:rsidRPr="0050741C" w:rsidRDefault="000C053F" w:rsidP="00901DF3">
      <w:pPr>
        <w:spacing w:line="480" w:lineRule="auto"/>
        <w:rPr>
          <w:i/>
          <w:lang w:val="en-US"/>
        </w:rPr>
      </w:pPr>
      <w:r w:rsidRPr="0050741C">
        <w:rPr>
          <w:i/>
          <w:lang w:val="en-US"/>
        </w:rPr>
        <w:t>1.9</w:t>
      </w:r>
      <w:r w:rsidR="00403505" w:rsidRPr="0050741C">
        <w:rPr>
          <w:i/>
          <w:lang w:val="en-US"/>
        </w:rPr>
        <w:t xml:space="preserve"> </w:t>
      </w:r>
      <w:r w:rsidR="0007630E" w:rsidRPr="0050741C">
        <w:rPr>
          <w:i/>
          <w:lang w:val="en-US"/>
        </w:rPr>
        <w:t>Travel time</w:t>
      </w:r>
    </w:p>
    <w:p w14:paraId="4D5D992C" w14:textId="1E5DD23D" w:rsidR="00BA06FE" w:rsidRPr="0050741C" w:rsidRDefault="00600CEB" w:rsidP="00901DF3">
      <w:pPr>
        <w:spacing w:line="480" w:lineRule="auto"/>
        <w:jc w:val="both"/>
        <w:rPr>
          <w:lang w:val="en-US"/>
        </w:rPr>
      </w:pPr>
      <w:r w:rsidRPr="0050741C">
        <w:rPr>
          <w:lang w:val="en-US"/>
        </w:rPr>
        <w:t>Travel time i</w:t>
      </w:r>
      <w:r w:rsidR="0007630E" w:rsidRPr="0050741C">
        <w:rPr>
          <w:lang w:val="en-US"/>
        </w:rPr>
        <w:t>s</w:t>
      </w:r>
      <w:r w:rsidRPr="0050741C">
        <w:rPr>
          <w:lang w:val="en-US"/>
        </w:rPr>
        <w:t xml:space="preserve"> considered</w:t>
      </w:r>
      <w:r w:rsidR="0007630E" w:rsidRPr="0050741C">
        <w:rPr>
          <w:lang w:val="en-US"/>
        </w:rPr>
        <w:t xml:space="preserve"> a </w:t>
      </w:r>
      <w:r w:rsidRPr="0050741C">
        <w:rPr>
          <w:lang w:val="en-US"/>
        </w:rPr>
        <w:t xml:space="preserve">(private) </w:t>
      </w:r>
      <w:r w:rsidR="0007630E" w:rsidRPr="0050741C">
        <w:rPr>
          <w:lang w:val="en-US"/>
        </w:rPr>
        <w:t xml:space="preserve">cost that has to be minimized by optimizing traffic flows (Hutton, 2013). </w:t>
      </w:r>
      <w:r w:rsidR="003522B4">
        <w:rPr>
          <w:lang w:val="en-US"/>
        </w:rPr>
        <w:t xml:space="preserve">The assessment of the marginal value of travel time is complex and sometimes contentious, as it </w:t>
      </w:r>
      <w:r w:rsidR="004E21C3">
        <w:rPr>
          <w:lang w:val="en-US"/>
        </w:rPr>
        <w:t>depends</w:t>
      </w:r>
      <w:r w:rsidR="003522B4">
        <w:rPr>
          <w:lang w:val="en-US"/>
        </w:rPr>
        <w:t xml:space="preserve"> on</w:t>
      </w:r>
      <w:r w:rsidR="004E21C3">
        <w:rPr>
          <w:lang w:val="en-US"/>
        </w:rPr>
        <w:t xml:space="preserve"> research method, sociodemographic factors and transport mode (</w:t>
      </w:r>
      <w:r w:rsidR="000E3B32">
        <w:rPr>
          <w:lang w:val="en-US"/>
        </w:rPr>
        <w:t xml:space="preserve">Hensher 2009; </w:t>
      </w:r>
      <w:r w:rsidR="004E21C3">
        <w:rPr>
          <w:lang w:val="en-US"/>
        </w:rPr>
        <w:t>Shires and de Jong 2009). The value of travel time has</w:t>
      </w:r>
      <w:r w:rsidR="003522B4">
        <w:rPr>
          <w:lang w:val="en-US"/>
        </w:rPr>
        <w:t xml:space="preserve"> also</w:t>
      </w:r>
      <w:r w:rsidR="004E21C3">
        <w:rPr>
          <w:lang w:val="en-US"/>
        </w:rPr>
        <w:t xml:space="preserve"> been</w:t>
      </w:r>
      <w:r w:rsidR="003522B4">
        <w:rPr>
          <w:lang w:val="en-US"/>
        </w:rPr>
        <w:t xml:space="preserve"> linked to travel time reliability, i.e. the uncertainty experienced by travelers as to when they will reach their destination (Carrion and Levinson 2012). </w:t>
      </w:r>
      <w:r w:rsidR="00F31B02">
        <w:rPr>
          <w:lang w:val="en-US"/>
        </w:rPr>
        <w:t>Transport CBA</w:t>
      </w:r>
      <w:r w:rsidR="004E21C3">
        <w:rPr>
          <w:lang w:val="en-US"/>
        </w:rPr>
        <w:t xml:space="preserve"> usually</w:t>
      </w:r>
      <w:r w:rsidR="0007630E" w:rsidRPr="0050741C">
        <w:rPr>
          <w:lang w:val="en-US"/>
        </w:rPr>
        <w:t xml:space="preserve"> assess</w:t>
      </w:r>
      <w:r w:rsidR="00F31B02">
        <w:rPr>
          <w:lang w:val="en-US"/>
        </w:rPr>
        <w:t>es</w:t>
      </w:r>
      <w:r w:rsidR="0007630E" w:rsidRPr="0050741C">
        <w:rPr>
          <w:lang w:val="en-US"/>
        </w:rPr>
        <w:t xml:space="preserve"> the value of</w:t>
      </w:r>
      <w:r w:rsidR="00F31B02">
        <w:rPr>
          <w:lang w:val="en-US"/>
        </w:rPr>
        <w:t xml:space="preserve"> travel</w:t>
      </w:r>
      <w:r w:rsidR="0007630E" w:rsidRPr="0050741C">
        <w:rPr>
          <w:lang w:val="en-US"/>
        </w:rPr>
        <w:t xml:space="preserve"> time based on traffic participant</w:t>
      </w:r>
      <w:r w:rsidR="005624DB" w:rsidRPr="0050741C">
        <w:rPr>
          <w:lang w:val="en-US"/>
        </w:rPr>
        <w:t>s' willingness to pay for time</w:t>
      </w:r>
      <w:r w:rsidR="003522B4">
        <w:rPr>
          <w:lang w:val="en-US"/>
        </w:rPr>
        <w:t xml:space="preserve"> (</w:t>
      </w:r>
      <w:r w:rsidR="00F31B02">
        <w:rPr>
          <w:lang w:val="en-US"/>
        </w:rPr>
        <w:t xml:space="preserve">Axhausen et al. 2015; </w:t>
      </w:r>
      <w:r w:rsidR="003522B4">
        <w:rPr>
          <w:lang w:val="en-US"/>
        </w:rPr>
        <w:t>Center for Transport Analytics 2017</w:t>
      </w:r>
      <w:r w:rsidR="00F31B02">
        <w:rPr>
          <w:lang w:val="en-US"/>
        </w:rPr>
        <w:t xml:space="preserve">; </w:t>
      </w:r>
      <w:r w:rsidR="00F31B02" w:rsidRPr="00F31B02">
        <w:rPr>
          <w:bCs/>
          <w:lang w:val="en-GB"/>
        </w:rPr>
        <w:t>Korzhenevych et al. 2014</w:t>
      </w:r>
      <w:r w:rsidR="00F31B02">
        <w:rPr>
          <w:bCs/>
          <w:lang w:val="en-GB"/>
        </w:rPr>
        <w:t xml:space="preserve">; </w:t>
      </w:r>
      <w:r w:rsidR="00F31B02">
        <w:rPr>
          <w:lang w:val="en-US"/>
        </w:rPr>
        <w:t>Litman and Doherty 2011</w:t>
      </w:r>
      <w:r w:rsidR="003522B4">
        <w:rPr>
          <w:lang w:val="en-US"/>
        </w:rPr>
        <w:t>)</w:t>
      </w:r>
      <w:r w:rsidR="005624DB" w:rsidRPr="0050741C">
        <w:rPr>
          <w:lang w:val="en-US"/>
        </w:rPr>
        <w:t>.</w:t>
      </w:r>
    </w:p>
    <w:p w14:paraId="122C3461" w14:textId="77777777" w:rsidR="00F31B02" w:rsidRDefault="00F31B02" w:rsidP="003522B4">
      <w:pPr>
        <w:spacing w:line="480" w:lineRule="auto"/>
        <w:rPr>
          <w:lang w:val="en-US"/>
        </w:rPr>
      </w:pPr>
    </w:p>
    <w:p w14:paraId="14D7DB0A" w14:textId="5715CE8B" w:rsidR="0007630E" w:rsidRPr="0050741C" w:rsidRDefault="000C053F" w:rsidP="00901DF3">
      <w:pPr>
        <w:spacing w:line="480" w:lineRule="auto"/>
        <w:rPr>
          <w:i/>
          <w:lang w:val="en-US"/>
        </w:rPr>
      </w:pPr>
      <w:r w:rsidRPr="0050741C">
        <w:rPr>
          <w:i/>
          <w:lang w:val="en-US"/>
        </w:rPr>
        <w:t>1.10</w:t>
      </w:r>
      <w:r w:rsidR="00FD3D4A" w:rsidRPr="0050741C">
        <w:rPr>
          <w:i/>
          <w:lang w:val="en-US"/>
        </w:rPr>
        <w:t xml:space="preserve"> </w:t>
      </w:r>
      <w:r w:rsidR="0007630E" w:rsidRPr="0050741C">
        <w:rPr>
          <w:i/>
          <w:lang w:val="en-US"/>
        </w:rPr>
        <w:t>Congestion</w:t>
      </w:r>
    </w:p>
    <w:p w14:paraId="162059F8" w14:textId="64B91F07" w:rsidR="00246C2F" w:rsidRPr="0050741C" w:rsidRDefault="00EE436E" w:rsidP="00901DF3">
      <w:pPr>
        <w:spacing w:line="480" w:lineRule="auto"/>
        <w:jc w:val="both"/>
        <w:rPr>
          <w:lang w:val="en-US"/>
        </w:rPr>
      </w:pPr>
      <w:r w:rsidRPr="0050741C">
        <w:rPr>
          <w:lang w:val="en-US"/>
        </w:rPr>
        <w:t xml:space="preserve">Congestion is the time loss imposed on other </w:t>
      </w:r>
      <w:r w:rsidR="00CB5133" w:rsidRPr="0050741C">
        <w:rPr>
          <w:lang w:val="en-US"/>
        </w:rPr>
        <w:t>travelers</w:t>
      </w:r>
      <w:r w:rsidRPr="0050741C">
        <w:rPr>
          <w:lang w:val="en-US"/>
        </w:rPr>
        <w:t xml:space="preserve"> because of simultaneous use of the road network</w:t>
      </w:r>
      <w:r w:rsidR="005B6AE4" w:rsidRPr="0050741C">
        <w:rPr>
          <w:lang w:val="en-US"/>
        </w:rPr>
        <w:t>, including travel time, operating cost, fuel cost</w:t>
      </w:r>
      <w:r w:rsidR="00876D11">
        <w:rPr>
          <w:lang w:val="en-US"/>
        </w:rPr>
        <w:t>,</w:t>
      </w:r>
      <w:r w:rsidR="005B6AE4" w:rsidRPr="0050741C">
        <w:rPr>
          <w:lang w:val="en-US"/>
        </w:rPr>
        <w:t xml:space="preserve"> reliability cost</w:t>
      </w:r>
      <w:r w:rsidR="006B1C07" w:rsidRPr="0050741C">
        <w:rPr>
          <w:lang w:val="en-US"/>
        </w:rPr>
        <w:t xml:space="preserve"> (arrival time)</w:t>
      </w:r>
      <w:r w:rsidR="005B6AE4" w:rsidRPr="0050741C">
        <w:rPr>
          <w:lang w:val="en-US"/>
        </w:rPr>
        <w:t xml:space="preserve">, pollution, </w:t>
      </w:r>
      <w:r w:rsidR="009B5A4B" w:rsidRPr="0050741C">
        <w:rPr>
          <w:lang w:val="en-US"/>
        </w:rPr>
        <w:t>collisions,</w:t>
      </w:r>
      <w:r w:rsidR="005B6AE4" w:rsidRPr="0050741C">
        <w:rPr>
          <w:lang w:val="en-US"/>
        </w:rPr>
        <w:t xml:space="preserve"> noise</w:t>
      </w:r>
      <w:r w:rsidR="00B834DF" w:rsidRPr="0050741C">
        <w:rPr>
          <w:lang w:val="en-US"/>
        </w:rPr>
        <w:t>, as well as driver stress and reductions in subjective wellbeing</w:t>
      </w:r>
      <w:r w:rsidRPr="0050741C">
        <w:rPr>
          <w:lang w:val="en-US"/>
        </w:rPr>
        <w:t xml:space="preserve"> (</w:t>
      </w:r>
      <w:r w:rsidR="00841824">
        <w:rPr>
          <w:lang w:val="en-US"/>
        </w:rPr>
        <w:t xml:space="preserve">Litman </w:t>
      </w:r>
      <w:r w:rsidR="00876D11">
        <w:rPr>
          <w:lang w:val="en-US"/>
        </w:rPr>
        <w:t xml:space="preserve">&amp; </w:t>
      </w:r>
      <w:r w:rsidR="00841824">
        <w:rPr>
          <w:lang w:val="en-US"/>
        </w:rPr>
        <w:t>Doherty</w:t>
      </w:r>
      <w:r w:rsidR="00B834DF" w:rsidRPr="0050741C">
        <w:rPr>
          <w:lang w:val="en-US"/>
        </w:rPr>
        <w:t xml:space="preserve"> 201</w:t>
      </w:r>
      <w:r w:rsidR="00841824">
        <w:rPr>
          <w:lang w:val="en-US"/>
        </w:rPr>
        <w:t>1</w:t>
      </w:r>
      <w:r w:rsidRPr="0050741C">
        <w:rPr>
          <w:lang w:val="en-US"/>
        </w:rPr>
        <w:t>).</w:t>
      </w:r>
      <w:r w:rsidR="005B6AE4" w:rsidRPr="0050741C">
        <w:rPr>
          <w:lang w:val="en-US"/>
        </w:rPr>
        <w:t xml:space="preserve"> </w:t>
      </w:r>
      <w:r w:rsidR="00F90826" w:rsidRPr="0050741C">
        <w:rPr>
          <w:lang w:val="en-US"/>
        </w:rPr>
        <w:t xml:space="preserve">Travel time cost </w:t>
      </w:r>
      <w:r w:rsidR="00193F9A">
        <w:rPr>
          <w:lang w:val="en-US"/>
        </w:rPr>
        <w:t>is</w:t>
      </w:r>
      <w:r w:rsidR="00F90826" w:rsidRPr="0050741C">
        <w:rPr>
          <w:lang w:val="en-US"/>
        </w:rPr>
        <w:t xml:space="preserve"> considered </w:t>
      </w:r>
      <w:r w:rsidR="00193F9A">
        <w:rPr>
          <w:lang w:val="en-US"/>
        </w:rPr>
        <w:t xml:space="preserve">a private cost. </w:t>
      </w:r>
      <w:r w:rsidR="00876D11">
        <w:rPr>
          <w:lang w:val="en-US"/>
        </w:rPr>
        <w:t>As some cost</w:t>
      </w:r>
      <w:r w:rsidR="000A5DE6" w:rsidRPr="0050741C">
        <w:rPr>
          <w:lang w:val="en-US"/>
        </w:rPr>
        <w:t xml:space="preserve"> aspects are</w:t>
      </w:r>
      <w:r w:rsidR="005B6AE4" w:rsidRPr="0050741C">
        <w:rPr>
          <w:lang w:val="en-US"/>
        </w:rPr>
        <w:t xml:space="preserve"> already considered in other </w:t>
      </w:r>
      <w:r w:rsidR="003B7BC0" w:rsidRPr="0050741C">
        <w:rPr>
          <w:lang w:val="en-US"/>
        </w:rPr>
        <w:t>cost calculations (see previous sections)</w:t>
      </w:r>
      <w:r w:rsidR="00876D11">
        <w:rPr>
          <w:lang w:val="en-US"/>
        </w:rPr>
        <w:t xml:space="preserve">, ‘congestion’ only includes the </w:t>
      </w:r>
      <w:r w:rsidR="00246C2F" w:rsidRPr="0050741C">
        <w:rPr>
          <w:lang w:val="en-US"/>
        </w:rPr>
        <w:t>time</w:t>
      </w:r>
      <w:r w:rsidR="005B6AE4" w:rsidRPr="0050741C">
        <w:rPr>
          <w:lang w:val="en-US"/>
        </w:rPr>
        <w:t xml:space="preserve"> cost of driving an additional km </w:t>
      </w:r>
      <w:r w:rsidR="0007630E" w:rsidRPr="0050741C">
        <w:rPr>
          <w:lang w:val="en-US"/>
        </w:rPr>
        <w:t>in</w:t>
      </w:r>
      <w:r w:rsidR="00193F9A">
        <w:rPr>
          <w:lang w:val="en-US"/>
        </w:rPr>
        <w:t xml:space="preserve"> a congestion situation compared to a</w:t>
      </w:r>
      <w:r w:rsidR="0007630E" w:rsidRPr="0050741C">
        <w:rPr>
          <w:lang w:val="en-US"/>
        </w:rPr>
        <w:t xml:space="preserve"> situation of free traffic flow.</w:t>
      </w:r>
    </w:p>
    <w:p w14:paraId="5001E5BC" w14:textId="625AFDCA" w:rsidR="005F3C48" w:rsidRPr="0050741C" w:rsidRDefault="0007630E" w:rsidP="00901DF3">
      <w:pPr>
        <w:spacing w:line="480" w:lineRule="auto"/>
        <w:jc w:val="both"/>
        <w:rPr>
          <w:i/>
          <w:lang w:val="en-US"/>
        </w:rPr>
      </w:pPr>
      <w:r w:rsidRPr="0050741C">
        <w:rPr>
          <w:lang w:val="en-US"/>
        </w:rPr>
        <w:t xml:space="preserve"> </w:t>
      </w:r>
    </w:p>
    <w:p w14:paraId="73D72D78" w14:textId="22391F16" w:rsidR="0007630E" w:rsidRPr="0050741C" w:rsidRDefault="000C053F" w:rsidP="00901DF3">
      <w:pPr>
        <w:spacing w:line="480" w:lineRule="auto"/>
        <w:rPr>
          <w:i/>
          <w:lang w:val="en-US"/>
        </w:rPr>
      </w:pPr>
      <w:r w:rsidRPr="0050741C">
        <w:rPr>
          <w:i/>
          <w:lang w:val="en-US"/>
        </w:rPr>
        <w:t>1.</w:t>
      </w:r>
      <w:r w:rsidR="0034757B" w:rsidRPr="0050741C">
        <w:rPr>
          <w:i/>
          <w:lang w:val="en-US"/>
        </w:rPr>
        <w:t>11</w:t>
      </w:r>
      <w:r w:rsidR="00FD3D4A" w:rsidRPr="0050741C">
        <w:rPr>
          <w:i/>
          <w:lang w:val="en-US"/>
        </w:rPr>
        <w:t xml:space="preserve"> </w:t>
      </w:r>
      <w:r w:rsidR="00BE205F" w:rsidRPr="0050741C">
        <w:rPr>
          <w:i/>
          <w:lang w:val="en-US"/>
        </w:rPr>
        <w:t>Health benefits</w:t>
      </w:r>
    </w:p>
    <w:p w14:paraId="20F83C12" w14:textId="41C07649" w:rsidR="00FB765F" w:rsidRPr="0050741C" w:rsidRDefault="00B46BD2" w:rsidP="00901DF3">
      <w:pPr>
        <w:spacing w:line="480" w:lineRule="auto"/>
        <w:jc w:val="both"/>
        <w:rPr>
          <w:lang w:val="en-US"/>
        </w:rPr>
      </w:pPr>
      <w:r>
        <w:rPr>
          <w:lang w:val="en-US"/>
        </w:rPr>
        <w:lastRenderedPageBreak/>
        <w:t>Transport-related health effects can be external or private, and health enabling or damaging (Litman and Doherty 2011). For example, s</w:t>
      </w:r>
      <w:r w:rsidR="0007630E" w:rsidRPr="0050741C">
        <w:rPr>
          <w:lang w:val="en-US"/>
        </w:rPr>
        <w:t>avings to the healthcare system as a result of active transportation</w:t>
      </w:r>
      <w:r w:rsidR="0073705F" w:rsidRPr="0050741C">
        <w:rPr>
          <w:lang w:val="en-US"/>
        </w:rPr>
        <w:t xml:space="preserve"> represent a benefit to society</w:t>
      </w:r>
      <w:r w:rsidR="00E008A8" w:rsidRPr="0050741C">
        <w:rPr>
          <w:lang w:val="en-US"/>
        </w:rPr>
        <w:t>.</w:t>
      </w:r>
      <w:r w:rsidR="0053494E" w:rsidRPr="0050741C">
        <w:rPr>
          <w:lang w:val="en-US"/>
        </w:rPr>
        <w:t xml:space="preserve"> C</w:t>
      </w:r>
      <w:r w:rsidR="00E008A8" w:rsidRPr="0050741C">
        <w:rPr>
          <w:lang w:val="en-US"/>
        </w:rPr>
        <w:t xml:space="preserve">ycling </w:t>
      </w:r>
      <w:r>
        <w:rPr>
          <w:lang w:val="en-US"/>
        </w:rPr>
        <w:t xml:space="preserve">is known to </w:t>
      </w:r>
      <w:r w:rsidR="008D5B97">
        <w:rPr>
          <w:lang w:val="en-US"/>
        </w:rPr>
        <w:t>enable</w:t>
      </w:r>
      <w:r w:rsidR="00E008A8" w:rsidRPr="0050741C">
        <w:rPr>
          <w:lang w:val="en-US"/>
        </w:rPr>
        <w:t xml:space="preserve"> health</w:t>
      </w:r>
      <w:r w:rsidR="00D4430B" w:rsidRPr="0050741C">
        <w:rPr>
          <w:lang w:val="en-US"/>
        </w:rPr>
        <w:t>,</w:t>
      </w:r>
      <w:r w:rsidR="00E008A8" w:rsidRPr="0050741C">
        <w:rPr>
          <w:lang w:val="en-US"/>
        </w:rPr>
        <w:t xml:space="preserve"> including a reduced risk of cardiovascular disease, various cancer types, type-2 diabetes or depression (Genter et al.</w:t>
      </w:r>
      <w:r w:rsidR="005D47C6" w:rsidRPr="0050741C">
        <w:rPr>
          <w:lang w:val="en-US"/>
        </w:rPr>
        <w:t>,</w:t>
      </w:r>
      <w:r w:rsidR="00E008A8" w:rsidRPr="0050741C">
        <w:rPr>
          <w:lang w:val="en-US"/>
        </w:rPr>
        <w:t xml:space="preserve"> 2008; </w:t>
      </w:r>
      <w:r w:rsidR="00AA0F46" w:rsidRPr="0050741C">
        <w:rPr>
          <w:lang w:val="en-US"/>
        </w:rPr>
        <w:t>Litman</w:t>
      </w:r>
      <w:r w:rsidR="00E008A8" w:rsidRPr="0050741C">
        <w:rPr>
          <w:lang w:val="en-US"/>
        </w:rPr>
        <w:t xml:space="preserve"> and Doherty</w:t>
      </w:r>
      <w:r w:rsidR="005D47C6" w:rsidRPr="0050741C">
        <w:rPr>
          <w:lang w:val="en-US"/>
        </w:rPr>
        <w:t>,</w:t>
      </w:r>
      <w:r w:rsidR="00E008A8" w:rsidRPr="0050741C">
        <w:rPr>
          <w:lang w:val="en-US"/>
        </w:rPr>
        <w:t xml:space="preserve"> 2011; Holm et al.</w:t>
      </w:r>
      <w:r w:rsidR="005D47C6" w:rsidRPr="0050741C">
        <w:rPr>
          <w:lang w:val="en-US"/>
        </w:rPr>
        <w:t>,</w:t>
      </w:r>
      <w:r w:rsidR="00E008A8" w:rsidRPr="0050741C">
        <w:rPr>
          <w:lang w:val="en-US"/>
        </w:rPr>
        <w:t xml:space="preserve"> 2012). </w:t>
      </w:r>
      <w:r w:rsidR="00FB765F" w:rsidRPr="0050741C">
        <w:rPr>
          <w:lang w:val="en-US"/>
        </w:rPr>
        <w:t>Cycling can also reduce obesity levels (</w:t>
      </w:r>
      <w:r w:rsidR="00FC2820" w:rsidRPr="0050741C">
        <w:rPr>
          <w:lang w:val="en-US"/>
        </w:rPr>
        <w:t>Bassett et al. 2008</w:t>
      </w:r>
      <w:r w:rsidR="00FB765F" w:rsidRPr="0050741C">
        <w:rPr>
          <w:lang w:val="en-US"/>
        </w:rPr>
        <w:t xml:space="preserve">). </w:t>
      </w:r>
      <w:r>
        <w:rPr>
          <w:lang w:val="en-US"/>
        </w:rPr>
        <w:t xml:space="preserve">Cycling benefits include </w:t>
      </w:r>
      <w:r w:rsidR="00FB765F" w:rsidRPr="0050741C">
        <w:rPr>
          <w:lang w:val="en-US"/>
        </w:rPr>
        <w:t xml:space="preserve">reduced </w:t>
      </w:r>
      <w:r w:rsidR="00331E80" w:rsidRPr="0050741C">
        <w:rPr>
          <w:lang w:val="en-US"/>
        </w:rPr>
        <w:t>costs for medical treatments</w:t>
      </w:r>
      <w:r w:rsidR="00FB765F" w:rsidRPr="0050741C">
        <w:rPr>
          <w:lang w:val="en-US"/>
        </w:rPr>
        <w:t xml:space="preserve">, fewer </w:t>
      </w:r>
      <w:r w:rsidR="00331E80" w:rsidRPr="0050741C">
        <w:rPr>
          <w:lang w:val="en-US"/>
        </w:rPr>
        <w:t>days of sick leave</w:t>
      </w:r>
      <w:r>
        <w:rPr>
          <w:lang w:val="en-US"/>
        </w:rPr>
        <w:t xml:space="preserve"> (external benefits)</w:t>
      </w:r>
      <w:r w:rsidR="008D5B97">
        <w:rPr>
          <w:lang w:val="en-US"/>
        </w:rPr>
        <w:t xml:space="preserve">, though </w:t>
      </w:r>
      <w:r>
        <w:rPr>
          <w:lang w:val="en-US"/>
        </w:rPr>
        <w:t>there also exist</w:t>
      </w:r>
      <w:r w:rsidR="008D5B97">
        <w:rPr>
          <w:lang w:val="en-US"/>
        </w:rPr>
        <w:t xml:space="preserve"> </w:t>
      </w:r>
      <w:r>
        <w:rPr>
          <w:lang w:val="en-US"/>
        </w:rPr>
        <w:t xml:space="preserve">private </w:t>
      </w:r>
      <w:r w:rsidR="008D5B97">
        <w:rPr>
          <w:lang w:val="en-US"/>
        </w:rPr>
        <w:t>benefit</w:t>
      </w:r>
      <w:r>
        <w:rPr>
          <w:lang w:val="en-US"/>
        </w:rPr>
        <w:t>s</w:t>
      </w:r>
      <w:r w:rsidR="008D5B97">
        <w:rPr>
          <w:lang w:val="en-US"/>
        </w:rPr>
        <w:t xml:space="preserve"> </w:t>
      </w:r>
      <w:r w:rsidR="008D5B97" w:rsidRPr="0050741C">
        <w:rPr>
          <w:lang w:val="en-US"/>
        </w:rPr>
        <w:t xml:space="preserve">(better fitness, longer life expectancy) </w:t>
      </w:r>
      <w:r w:rsidR="008D5B97">
        <w:rPr>
          <w:lang w:val="en-US"/>
        </w:rPr>
        <w:t>(</w:t>
      </w:r>
      <w:r w:rsidR="00E008A8" w:rsidRPr="0050741C">
        <w:rPr>
          <w:lang w:val="en-US"/>
        </w:rPr>
        <w:t>Genter et al., 2</w:t>
      </w:r>
      <w:r w:rsidR="00FB765F" w:rsidRPr="0050741C">
        <w:rPr>
          <w:lang w:val="en-US"/>
        </w:rPr>
        <w:t>008; NZ Transport Agency, 2016).</w:t>
      </w:r>
      <w:r w:rsidR="00987B9F" w:rsidRPr="0050741C">
        <w:rPr>
          <w:lang w:val="en-US"/>
        </w:rPr>
        <w:t xml:space="preserve"> In Denmark</w:t>
      </w:r>
      <w:r w:rsidR="00987B9F" w:rsidRPr="0050741C">
        <w:rPr>
          <w:color w:val="000000" w:themeColor="text1"/>
          <w:lang w:val="en-US"/>
        </w:rPr>
        <w:t xml:space="preserve">, </w:t>
      </w:r>
      <w:r>
        <w:rPr>
          <w:color w:val="000000" w:themeColor="text1"/>
          <w:lang w:val="en-US"/>
        </w:rPr>
        <w:t xml:space="preserve">where these benefits have been quantified, </w:t>
      </w:r>
      <w:r w:rsidR="00987B9F" w:rsidRPr="0050741C">
        <w:rPr>
          <w:color w:val="000000" w:themeColor="text1"/>
          <w:lang w:val="en-US"/>
        </w:rPr>
        <w:t>cycling is estimated to prevent about 3,000 deaths, more than 3,000 cases of type 2 diabetes, almost 6,000 cases of cardiovascular disease as well as in excess of 2,000 cases of cancer per year (Andersen et al.</w:t>
      </w:r>
      <w:r w:rsidR="005D47C6" w:rsidRPr="0050741C">
        <w:rPr>
          <w:color w:val="000000" w:themeColor="text1"/>
          <w:lang w:val="en-US"/>
        </w:rPr>
        <w:t>,</w:t>
      </w:r>
      <w:r w:rsidR="00987B9F" w:rsidRPr="0050741C">
        <w:rPr>
          <w:color w:val="000000" w:themeColor="text1"/>
          <w:lang w:val="en-US"/>
        </w:rPr>
        <w:t xml:space="preserve"> 2000; Blond et al.</w:t>
      </w:r>
      <w:r w:rsidR="005D47C6" w:rsidRPr="0050741C">
        <w:rPr>
          <w:color w:val="000000" w:themeColor="text1"/>
          <w:lang w:val="en-US"/>
        </w:rPr>
        <w:t>,</w:t>
      </w:r>
      <w:r w:rsidR="00987B9F" w:rsidRPr="0050741C">
        <w:rPr>
          <w:color w:val="000000" w:themeColor="text1"/>
          <w:lang w:val="en-US"/>
        </w:rPr>
        <w:t xml:space="preserve"> 2016; Rasmussen et al.</w:t>
      </w:r>
      <w:r w:rsidR="005D47C6" w:rsidRPr="0050741C">
        <w:rPr>
          <w:color w:val="000000" w:themeColor="text1"/>
          <w:lang w:val="en-US"/>
        </w:rPr>
        <w:t>,</w:t>
      </w:r>
      <w:r w:rsidR="00987B9F" w:rsidRPr="0050741C">
        <w:rPr>
          <w:color w:val="000000" w:themeColor="text1"/>
          <w:lang w:val="en-US"/>
        </w:rPr>
        <w:t xml:space="preserve"> 2016).</w:t>
      </w:r>
      <w:r w:rsidR="00AB10EB" w:rsidRPr="0050741C">
        <w:rPr>
          <w:lang w:val="en-US"/>
        </w:rPr>
        <w:t xml:space="preserve"> In contrast, health</w:t>
      </w:r>
      <w:r w:rsidR="004C045E">
        <w:rPr>
          <w:lang w:val="en-US"/>
        </w:rPr>
        <w:t xml:space="preserve"> </w:t>
      </w:r>
      <w:r w:rsidR="0053494E" w:rsidRPr="0050741C">
        <w:rPr>
          <w:lang w:val="en-US"/>
        </w:rPr>
        <w:t>damaging</w:t>
      </w:r>
      <w:r w:rsidR="004C045E">
        <w:rPr>
          <w:lang w:val="en-US"/>
        </w:rPr>
        <w:t xml:space="preserve"> aspects associated with cars</w:t>
      </w:r>
      <w:r w:rsidR="00AB10EB" w:rsidRPr="0050741C">
        <w:rPr>
          <w:lang w:val="en-US"/>
        </w:rPr>
        <w:t xml:space="preserve"> include </w:t>
      </w:r>
      <w:r w:rsidR="0053494E" w:rsidRPr="0050741C">
        <w:rPr>
          <w:lang w:val="en-US"/>
        </w:rPr>
        <w:t xml:space="preserve">traffic </w:t>
      </w:r>
      <w:r w:rsidR="009B5A4B" w:rsidRPr="0050741C">
        <w:rPr>
          <w:lang w:val="en-US"/>
        </w:rPr>
        <w:t>collisions</w:t>
      </w:r>
      <w:r w:rsidR="0053494E" w:rsidRPr="0050741C">
        <w:rPr>
          <w:lang w:val="en-US"/>
        </w:rPr>
        <w:t xml:space="preserve">, air and noise pollution, stress and anxiety, or constraints on active transport </w:t>
      </w:r>
      <w:r>
        <w:rPr>
          <w:lang w:val="en-US"/>
        </w:rPr>
        <w:t>(traffic risks imposed on cyclists or other active transportation)</w:t>
      </w:r>
      <w:r w:rsidR="004C045E">
        <w:rPr>
          <w:lang w:val="en-US"/>
        </w:rPr>
        <w:t xml:space="preserve">. </w:t>
      </w:r>
      <w:r>
        <w:rPr>
          <w:lang w:val="en-US"/>
        </w:rPr>
        <w:t xml:space="preserve">These health damaging aspects of the car are </w:t>
      </w:r>
      <w:r w:rsidR="004C045E">
        <w:rPr>
          <w:lang w:val="en-US"/>
        </w:rPr>
        <w:t xml:space="preserve">covered in </w:t>
      </w:r>
      <w:r w:rsidR="00374D0D" w:rsidRPr="0050741C">
        <w:rPr>
          <w:lang w:val="en-US"/>
        </w:rPr>
        <w:t>other sections</w:t>
      </w:r>
      <w:r w:rsidR="004C045E">
        <w:rPr>
          <w:lang w:val="en-US"/>
        </w:rPr>
        <w:t xml:space="preserve"> (1.2, 1.3, 1.12)</w:t>
      </w:r>
      <w:r w:rsidR="00374D0D" w:rsidRPr="0050741C">
        <w:rPr>
          <w:lang w:val="en-US"/>
        </w:rPr>
        <w:t>.</w:t>
      </w:r>
    </w:p>
    <w:p w14:paraId="6E255288" w14:textId="77777777" w:rsidR="00FB765F" w:rsidRPr="0050741C" w:rsidRDefault="00FB765F" w:rsidP="00901DF3">
      <w:pPr>
        <w:spacing w:line="480" w:lineRule="auto"/>
        <w:jc w:val="both"/>
        <w:rPr>
          <w:lang w:val="en-US"/>
        </w:rPr>
      </w:pPr>
    </w:p>
    <w:p w14:paraId="41AE6F3E" w14:textId="547CB6BC" w:rsidR="0007630E" w:rsidRPr="0050741C" w:rsidRDefault="000C053F" w:rsidP="00901DF3">
      <w:pPr>
        <w:spacing w:line="480" w:lineRule="auto"/>
        <w:rPr>
          <w:i/>
          <w:lang w:val="en-US"/>
        </w:rPr>
      </w:pPr>
      <w:r w:rsidRPr="0050741C">
        <w:rPr>
          <w:i/>
          <w:lang w:val="en-US"/>
        </w:rPr>
        <w:t>1.12</w:t>
      </w:r>
      <w:r w:rsidR="00BA0F02" w:rsidRPr="0050741C">
        <w:rPr>
          <w:i/>
          <w:lang w:val="en-US"/>
        </w:rPr>
        <w:t xml:space="preserve"> </w:t>
      </w:r>
      <w:r w:rsidR="0007630E" w:rsidRPr="0050741C">
        <w:rPr>
          <w:i/>
          <w:lang w:val="en-US"/>
        </w:rPr>
        <w:t>Accidents</w:t>
      </w:r>
      <w:r w:rsidR="00740FCF" w:rsidRPr="0050741C">
        <w:rPr>
          <w:i/>
          <w:lang w:val="en-US"/>
        </w:rPr>
        <w:t xml:space="preserve"> (c</w:t>
      </w:r>
      <w:r w:rsidR="003D420F" w:rsidRPr="0050741C">
        <w:rPr>
          <w:i/>
          <w:lang w:val="en-US"/>
        </w:rPr>
        <w:t>ollisions)</w:t>
      </w:r>
    </w:p>
    <w:p w14:paraId="4FF1145D" w14:textId="5E8DCB66" w:rsidR="000C3C65" w:rsidRPr="0050741C" w:rsidRDefault="00C32794" w:rsidP="00901DF3">
      <w:pPr>
        <w:spacing w:line="480" w:lineRule="auto"/>
        <w:jc w:val="both"/>
        <w:rPr>
          <w:lang w:val="en-US"/>
        </w:rPr>
      </w:pPr>
      <w:r w:rsidRPr="0050741C">
        <w:rPr>
          <w:lang w:val="en-US"/>
        </w:rPr>
        <w:t>Collision cost comprise</w:t>
      </w:r>
      <w:r w:rsidR="00604022">
        <w:rPr>
          <w:lang w:val="en-US"/>
        </w:rPr>
        <w:t>s</w:t>
      </w:r>
      <w:r w:rsidR="0007630E" w:rsidRPr="0050741C">
        <w:rPr>
          <w:lang w:val="en-US"/>
        </w:rPr>
        <w:t xml:space="preserve"> public services (police, rescue and treatment), the loss of net productivity, premature deaths, </w:t>
      </w:r>
      <w:r w:rsidR="008D30C1" w:rsidRPr="0050741C">
        <w:rPr>
          <w:lang w:val="en-US"/>
        </w:rPr>
        <w:t>medical expenses</w:t>
      </w:r>
      <w:r w:rsidR="0007630E" w:rsidRPr="0050741C">
        <w:rPr>
          <w:lang w:val="en-US"/>
        </w:rPr>
        <w:t>, a</w:t>
      </w:r>
      <w:r w:rsidR="005D47C6" w:rsidRPr="0050741C">
        <w:rPr>
          <w:lang w:val="en-US"/>
        </w:rPr>
        <w:t>s well as</w:t>
      </w:r>
      <w:r w:rsidR="0007630E" w:rsidRPr="0050741C">
        <w:rPr>
          <w:lang w:val="en-US"/>
        </w:rPr>
        <w:t xml:space="preserve"> the cost of </w:t>
      </w:r>
      <w:r w:rsidR="008D30C1" w:rsidRPr="0050741C">
        <w:rPr>
          <w:lang w:val="en-US"/>
        </w:rPr>
        <w:t>pain</w:t>
      </w:r>
      <w:r w:rsidR="00680F36" w:rsidRPr="0050741C">
        <w:rPr>
          <w:lang w:val="en-US"/>
        </w:rPr>
        <w:t>, grief</w:t>
      </w:r>
      <w:r w:rsidR="008D30C1" w:rsidRPr="0050741C">
        <w:rPr>
          <w:lang w:val="en-US"/>
        </w:rPr>
        <w:t xml:space="preserve"> and suffering</w:t>
      </w:r>
      <w:r w:rsidR="0007630E" w:rsidRPr="0050741C">
        <w:rPr>
          <w:lang w:val="en-US"/>
        </w:rPr>
        <w:t>.</w:t>
      </w:r>
      <w:r w:rsidR="00C051F7" w:rsidRPr="0050741C">
        <w:rPr>
          <w:lang w:val="en-US"/>
        </w:rPr>
        <w:t xml:space="preserve"> </w:t>
      </w:r>
      <w:r w:rsidR="00604022">
        <w:rPr>
          <w:lang w:val="en-US"/>
        </w:rPr>
        <w:t>Collisions</w:t>
      </w:r>
      <w:r w:rsidRPr="0050741C">
        <w:rPr>
          <w:lang w:val="en-US"/>
        </w:rPr>
        <w:t xml:space="preserve"> include damages and risks to the individual, and uncompensated damages and risks imposed on society</w:t>
      </w:r>
      <w:r w:rsidR="00604022">
        <w:rPr>
          <w:lang w:val="en-US"/>
        </w:rPr>
        <w:t xml:space="preserve"> (Litman &amp; Doherty 2011)</w:t>
      </w:r>
      <w:r w:rsidRPr="0050741C">
        <w:rPr>
          <w:lang w:val="en-US"/>
        </w:rPr>
        <w:t xml:space="preserve">. </w:t>
      </w:r>
      <w:r w:rsidR="00604022">
        <w:rPr>
          <w:lang w:val="en-US"/>
        </w:rPr>
        <w:t>The e</w:t>
      </w:r>
      <w:r w:rsidR="00257C69" w:rsidRPr="00257C69">
        <w:rPr>
          <w:lang w:val="en-US"/>
        </w:rPr>
        <w:t>xternal</w:t>
      </w:r>
      <w:r w:rsidRPr="00257C69">
        <w:rPr>
          <w:lang w:val="en-US"/>
        </w:rPr>
        <w:t xml:space="preserve"> cost thus only include</w:t>
      </w:r>
      <w:r w:rsidR="00604022">
        <w:rPr>
          <w:lang w:val="en-US"/>
        </w:rPr>
        <w:t>s</w:t>
      </w:r>
      <w:r w:rsidRPr="00257C69">
        <w:rPr>
          <w:lang w:val="en-US"/>
        </w:rPr>
        <w:t xml:space="preserve"> </w:t>
      </w:r>
      <w:r w:rsidR="00604022">
        <w:rPr>
          <w:lang w:val="en-US"/>
        </w:rPr>
        <w:t>damages uncovered by</w:t>
      </w:r>
      <w:r w:rsidR="00C051F7" w:rsidRPr="00257C69">
        <w:rPr>
          <w:lang w:val="en-US"/>
        </w:rPr>
        <w:t xml:space="preserve"> private insurances</w:t>
      </w:r>
      <w:r w:rsidR="00680F36" w:rsidRPr="00257C69">
        <w:rPr>
          <w:lang w:val="en-US"/>
        </w:rPr>
        <w:t xml:space="preserve"> </w:t>
      </w:r>
      <w:r w:rsidR="00C051F7" w:rsidRPr="00257C69">
        <w:rPr>
          <w:lang w:val="en-US"/>
        </w:rPr>
        <w:t>(</w:t>
      </w:r>
      <w:r w:rsidR="00C051F7" w:rsidRPr="00257C69">
        <w:rPr>
          <w:bCs/>
          <w:lang w:val="en-US"/>
        </w:rPr>
        <w:t>Korzhenevych et al. 2014).</w:t>
      </w:r>
      <w:r w:rsidR="0007630E" w:rsidRPr="00257C69">
        <w:rPr>
          <w:lang w:val="en-US"/>
        </w:rPr>
        <w:t xml:space="preserve"> </w:t>
      </w:r>
      <w:r w:rsidR="00C35D42" w:rsidRPr="0050741C">
        <w:rPr>
          <w:lang w:val="en-US"/>
        </w:rPr>
        <w:t>EPA (2017) suggests that mortality risks</w:t>
      </w:r>
      <w:r w:rsidRPr="0050741C">
        <w:rPr>
          <w:lang w:val="en-US"/>
        </w:rPr>
        <w:t xml:space="preserve"> are </w:t>
      </w:r>
      <w:r w:rsidR="00C35D42" w:rsidRPr="0050741C">
        <w:rPr>
          <w:lang w:val="en-US"/>
        </w:rPr>
        <w:t>the most significa</w:t>
      </w:r>
      <w:r w:rsidRPr="0050741C">
        <w:rPr>
          <w:lang w:val="en-US"/>
        </w:rPr>
        <w:t>nt cost factor that can</w:t>
      </w:r>
      <w:r w:rsidR="00C35D42" w:rsidRPr="0050741C">
        <w:rPr>
          <w:lang w:val="en-US"/>
        </w:rPr>
        <w:t xml:space="preserve"> be calculated on the basis of willingness to pay for reductions in the risk of dying</w:t>
      </w:r>
      <w:r w:rsidR="009F29CE" w:rsidRPr="0050741C">
        <w:rPr>
          <w:lang w:val="en-US"/>
        </w:rPr>
        <w:t xml:space="preserve">, </w:t>
      </w:r>
      <w:r w:rsidR="00D30117" w:rsidRPr="0050741C">
        <w:rPr>
          <w:lang w:val="en-US"/>
        </w:rPr>
        <w:t xml:space="preserve">i.e., the value </w:t>
      </w:r>
      <w:r w:rsidR="00C35D42" w:rsidRPr="0050741C">
        <w:rPr>
          <w:lang w:val="en-US"/>
        </w:rPr>
        <w:t>of a statistical life.</w:t>
      </w:r>
      <w:r w:rsidR="005F4AA3" w:rsidRPr="0050741C">
        <w:rPr>
          <w:lang w:val="en-US"/>
        </w:rPr>
        <w:t xml:space="preserve"> </w:t>
      </w:r>
      <w:r w:rsidR="00CC096F" w:rsidRPr="0050741C">
        <w:rPr>
          <w:lang w:val="en-US"/>
        </w:rPr>
        <w:t xml:space="preserve">Apart from fatal accidents, there </w:t>
      </w:r>
      <w:r w:rsidR="00604022">
        <w:rPr>
          <w:lang w:val="en-US"/>
        </w:rPr>
        <w:t>is</w:t>
      </w:r>
      <w:r w:rsidR="00CC096F" w:rsidRPr="0050741C">
        <w:rPr>
          <w:lang w:val="en-US"/>
        </w:rPr>
        <w:t xml:space="preserve"> also </w:t>
      </w:r>
      <w:r w:rsidR="00604022">
        <w:rPr>
          <w:lang w:val="en-US"/>
        </w:rPr>
        <w:t xml:space="preserve">a </w:t>
      </w:r>
      <w:r w:rsidR="00CC096F" w:rsidRPr="0050741C">
        <w:rPr>
          <w:lang w:val="en-US"/>
        </w:rPr>
        <w:t xml:space="preserve">considerable cost associated with injuries. </w:t>
      </w:r>
    </w:p>
    <w:p w14:paraId="1D2E1364" w14:textId="77777777" w:rsidR="00CC096F" w:rsidRPr="0050741C" w:rsidRDefault="00CC096F" w:rsidP="00901DF3">
      <w:pPr>
        <w:spacing w:line="480" w:lineRule="auto"/>
        <w:jc w:val="both"/>
        <w:rPr>
          <w:lang w:val="en-US"/>
        </w:rPr>
      </w:pPr>
    </w:p>
    <w:p w14:paraId="6EA72154" w14:textId="38828FA2" w:rsidR="0007630E" w:rsidRPr="0050741C" w:rsidRDefault="000C053F" w:rsidP="00901DF3">
      <w:pPr>
        <w:spacing w:line="480" w:lineRule="auto"/>
        <w:rPr>
          <w:i/>
          <w:lang w:val="en-US"/>
        </w:rPr>
      </w:pPr>
      <w:r w:rsidRPr="0050741C">
        <w:rPr>
          <w:i/>
          <w:lang w:val="en-US"/>
        </w:rPr>
        <w:t>1.</w:t>
      </w:r>
      <w:r w:rsidR="00BA0F02" w:rsidRPr="0050741C">
        <w:rPr>
          <w:i/>
          <w:lang w:val="en-US"/>
        </w:rPr>
        <w:t>1</w:t>
      </w:r>
      <w:r w:rsidR="004C7D3E" w:rsidRPr="0050741C">
        <w:rPr>
          <w:i/>
          <w:lang w:val="en-US"/>
        </w:rPr>
        <w:t>3</w:t>
      </w:r>
      <w:r w:rsidR="00BA0F02" w:rsidRPr="0050741C">
        <w:rPr>
          <w:i/>
          <w:lang w:val="en-US"/>
        </w:rPr>
        <w:t xml:space="preserve"> </w:t>
      </w:r>
      <w:r w:rsidR="0007630E" w:rsidRPr="0050741C">
        <w:rPr>
          <w:i/>
          <w:lang w:val="en-US"/>
        </w:rPr>
        <w:t>Perceived safety</w:t>
      </w:r>
      <w:r w:rsidR="002E3358" w:rsidRPr="0050741C">
        <w:rPr>
          <w:i/>
          <w:lang w:val="en-US"/>
        </w:rPr>
        <w:t xml:space="preserve"> &amp; discomfort</w:t>
      </w:r>
      <w:r w:rsidR="007C5E0F">
        <w:rPr>
          <w:i/>
          <w:lang w:val="en-US"/>
        </w:rPr>
        <w:t xml:space="preserve"> </w:t>
      </w:r>
    </w:p>
    <w:p w14:paraId="1284194C" w14:textId="13B5AA7E" w:rsidR="00116B1F" w:rsidRPr="0050741C" w:rsidRDefault="0007630E" w:rsidP="00901DF3">
      <w:pPr>
        <w:spacing w:line="480" w:lineRule="auto"/>
        <w:jc w:val="both"/>
        <w:rPr>
          <w:lang w:val="en-US"/>
        </w:rPr>
      </w:pPr>
      <w:r w:rsidRPr="0050741C">
        <w:rPr>
          <w:lang w:val="en-US"/>
        </w:rPr>
        <w:t xml:space="preserve">Perceived </w:t>
      </w:r>
      <w:r w:rsidR="003D1D5A" w:rsidRPr="0050741C">
        <w:rPr>
          <w:lang w:val="en-US"/>
        </w:rPr>
        <w:t>risks</w:t>
      </w:r>
      <w:r w:rsidR="00B7508B" w:rsidRPr="0050741C">
        <w:rPr>
          <w:lang w:val="en-US"/>
        </w:rPr>
        <w:t xml:space="preserve"> </w:t>
      </w:r>
      <w:r w:rsidR="003D1D5A" w:rsidRPr="0050741C">
        <w:rPr>
          <w:lang w:val="en-US"/>
        </w:rPr>
        <w:t xml:space="preserve">in traffic </w:t>
      </w:r>
      <w:r w:rsidR="002E3358" w:rsidRPr="0050741C">
        <w:rPr>
          <w:lang w:val="en-US"/>
        </w:rPr>
        <w:t>represent a cost</w:t>
      </w:r>
      <w:r w:rsidR="00197DCE" w:rsidRPr="0050741C">
        <w:rPr>
          <w:lang w:val="en-US"/>
        </w:rPr>
        <w:t xml:space="preserve"> for cyclists</w:t>
      </w:r>
      <w:r w:rsidR="002E6FB6" w:rsidRPr="0050741C">
        <w:rPr>
          <w:lang w:val="en-US"/>
        </w:rPr>
        <w:t>. This may include physical traffic risks, i.e.</w:t>
      </w:r>
      <w:r w:rsidR="00FB76F1" w:rsidRPr="0050741C">
        <w:rPr>
          <w:lang w:val="en-US"/>
        </w:rPr>
        <w:t xml:space="preserve"> to</w:t>
      </w:r>
      <w:r w:rsidR="002E6FB6" w:rsidRPr="0050741C">
        <w:rPr>
          <w:lang w:val="en-US"/>
        </w:rPr>
        <w:t xml:space="preserve"> </w:t>
      </w:r>
      <w:r w:rsidR="00FB76F1" w:rsidRPr="0050741C">
        <w:rPr>
          <w:lang w:val="en-US"/>
        </w:rPr>
        <w:t>become</w:t>
      </w:r>
      <w:r w:rsidR="00B7508B" w:rsidRPr="0050741C">
        <w:rPr>
          <w:lang w:val="en-US"/>
        </w:rPr>
        <w:t xml:space="preserve"> involved in an accident; annoyance, for instan</w:t>
      </w:r>
      <w:r w:rsidR="00FB76F1" w:rsidRPr="0050741C">
        <w:rPr>
          <w:lang w:val="en-US"/>
        </w:rPr>
        <w:t>ce with regard to traffic noise;</w:t>
      </w:r>
      <w:r w:rsidR="002E6FB6" w:rsidRPr="0050741C">
        <w:rPr>
          <w:lang w:val="en-US"/>
        </w:rPr>
        <w:t xml:space="preserve"> as well as </w:t>
      </w:r>
      <w:r w:rsidR="002E3358" w:rsidRPr="0050741C">
        <w:rPr>
          <w:lang w:val="en-US"/>
        </w:rPr>
        <w:t xml:space="preserve">perceived health risks, such as </w:t>
      </w:r>
      <w:r w:rsidR="00670933" w:rsidRPr="0050741C">
        <w:rPr>
          <w:lang w:val="en-US"/>
        </w:rPr>
        <w:t xml:space="preserve">exposure to pollutants. </w:t>
      </w:r>
      <w:r w:rsidR="00FB76F1" w:rsidRPr="0050741C">
        <w:rPr>
          <w:lang w:val="en-US"/>
        </w:rPr>
        <w:t>Exhaust fumes can also be perceived as a discomfort</w:t>
      </w:r>
      <w:r w:rsidR="008362D2">
        <w:rPr>
          <w:lang w:val="en-US"/>
        </w:rPr>
        <w:t xml:space="preserve"> (Gössling et al. 2018</w:t>
      </w:r>
      <w:r w:rsidR="002E3358" w:rsidRPr="0050741C">
        <w:rPr>
          <w:lang w:val="en-US"/>
        </w:rPr>
        <w:t xml:space="preserve">). </w:t>
      </w:r>
      <w:r w:rsidR="00FB76F1" w:rsidRPr="0050741C">
        <w:rPr>
          <w:lang w:val="en-US"/>
        </w:rPr>
        <w:t>It has been highlighted that p</w:t>
      </w:r>
      <w:r w:rsidR="002E3358" w:rsidRPr="0050741C">
        <w:rPr>
          <w:lang w:val="en-US"/>
        </w:rPr>
        <w:t xml:space="preserve">erceived </w:t>
      </w:r>
      <w:r w:rsidR="007C5E0F">
        <w:rPr>
          <w:lang w:val="en-US"/>
        </w:rPr>
        <w:t>traffic risks</w:t>
      </w:r>
      <w:r w:rsidR="002E3358" w:rsidRPr="0050741C">
        <w:rPr>
          <w:lang w:val="en-US"/>
        </w:rPr>
        <w:t xml:space="preserve"> represent a cost to cyclists</w:t>
      </w:r>
      <w:r w:rsidRPr="0050741C">
        <w:rPr>
          <w:lang w:val="en-US"/>
        </w:rPr>
        <w:t xml:space="preserve"> (COWI and </w:t>
      </w:r>
      <w:r w:rsidR="002E3358" w:rsidRPr="0050741C">
        <w:rPr>
          <w:lang w:val="en-US"/>
        </w:rPr>
        <w:t>City of Copenhagen 2009), but this cost has never been quantified.</w:t>
      </w:r>
      <w:r w:rsidR="0036068C" w:rsidRPr="0050741C">
        <w:rPr>
          <w:lang w:val="en-US"/>
        </w:rPr>
        <w:t xml:space="preserve"> </w:t>
      </w:r>
      <w:r w:rsidR="00FB76F1" w:rsidRPr="0050741C">
        <w:rPr>
          <w:lang w:val="en-US"/>
        </w:rPr>
        <w:t>Likewise, the cost of</w:t>
      </w:r>
      <w:r w:rsidR="00E30534" w:rsidRPr="0050741C">
        <w:rPr>
          <w:lang w:val="en-US"/>
        </w:rPr>
        <w:t xml:space="preserve"> </w:t>
      </w:r>
      <w:r w:rsidR="00FB76F1" w:rsidRPr="0050741C">
        <w:rPr>
          <w:lang w:val="en-US"/>
        </w:rPr>
        <w:t xml:space="preserve">exhaust exposure </w:t>
      </w:r>
      <w:r w:rsidR="007C5E0F">
        <w:rPr>
          <w:lang w:val="en-US"/>
        </w:rPr>
        <w:t xml:space="preserve">smells </w:t>
      </w:r>
      <w:r w:rsidR="00FB76F1" w:rsidRPr="0050741C">
        <w:rPr>
          <w:lang w:val="en-US"/>
        </w:rPr>
        <w:t>has never been assessed.</w:t>
      </w:r>
      <w:r w:rsidR="0036068C" w:rsidRPr="0050741C">
        <w:rPr>
          <w:lang w:val="en-US"/>
        </w:rPr>
        <w:t xml:space="preserve"> As outlined by Kl</w:t>
      </w:r>
      <w:r w:rsidR="00C57E1F" w:rsidRPr="0050741C">
        <w:rPr>
          <w:lang w:val="en-US"/>
        </w:rPr>
        <w:t>æ</w:t>
      </w:r>
      <w:r w:rsidR="0036068C" w:rsidRPr="0050741C">
        <w:rPr>
          <w:lang w:val="en-US"/>
        </w:rPr>
        <w:t>boe et al. (2000), smell</w:t>
      </w:r>
      <w:r w:rsidRPr="0050741C">
        <w:rPr>
          <w:lang w:val="en-US"/>
        </w:rPr>
        <w:t xml:space="preserve"> is perceived as an annoyance that is interdependent with noise and </w:t>
      </w:r>
      <w:r w:rsidR="0036068C" w:rsidRPr="0050741C">
        <w:rPr>
          <w:lang w:val="en-US"/>
        </w:rPr>
        <w:t>other environmental pollutants</w:t>
      </w:r>
      <w:r w:rsidR="007B311B" w:rsidRPr="0050741C">
        <w:rPr>
          <w:lang w:val="en-US"/>
        </w:rPr>
        <w:t xml:space="preserve">, and its effects may be enhanced where smells are more strongly </w:t>
      </w:r>
      <w:r w:rsidR="00FB76F1" w:rsidRPr="0050741C">
        <w:rPr>
          <w:lang w:val="en-US"/>
        </w:rPr>
        <w:t>associated with health threat</w:t>
      </w:r>
      <w:r w:rsidR="007C5E0F">
        <w:rPr>
          <w:lang w:val="en-US"/>
        </w:rPr>
        <w:t>s</w:t>
      </w:r>
      <w:r w:rsidR="007B311B" w:rsidRPr="0050741C">
        <w:rPr>
          <w:lang w:val="en-US"/>
        </w:rPr>
        <w:t xml:space="preserve">. </w:t>
      </w:r>
    </w:p>
    <w:p w14:paraId="4301C310" w14:textId="77777777" w:rsidR="00442016" w:rsidRPr="0050741C" w:rsidRDefault="00442016" w:rsidP="00901DF3">
      <w:pPr>
        <w:spacing w:line="480" w:lineRule="auto"/>
        <w:jc w:val="both"/>
        <w:rPr>
          <w:lang w:val="en-US"/>
        </w:rPr>
      </w:pPr>
    </w:p>
    <w:p w14:paraId="70CB379F" w14:textId="27BAB277" w:rsidR="0007630E" w:rsidRPr="0050741C" w:rsidRDefault="000C053F" w:rsidP="00901DF3">
      <w:pPr>
        <w:spacing w:line="480" w:lineRule="auto"/>
        <w:rPr>
          <w:i/>
          <w:lang w:val="en-US"/>
        </w:rPr>
      </w:pPr>
      <w:r w:rsidRPr="0050741C">
        <w:rPr>
          <w:i/>
          <w:lang w:val="en-US"/>
        </w:rPr>
        <w:t>1.</w:t>
      </w:r>
      <w:r w:rsidR="00E702A6" w:rsidRPr="0050741C">
        <w:rPr>
          <w:i/>
          <w:lang w:val="en-US"/>
        </w:rPr>
        <w:t>1</w:t>
      </w:r>
      <w:r w:rsidR="004C7D3E" w:rsidRPr="0050741C">
        <w:rPr>
          <w:i/>
          <w:lang w:val="en-US"/>
        </w:rPr>
        <w:t>4</w:t>
      </w:r>
      <w:r w:rsidR="00E702A6" w:rsidRPr="0050741C">
        <w:rPr>
          <w:i/>
          <w:lang w:val="en-US"/>
        </w:rPr>
        <w:t xml:space="preserve"> Quality of life, b</w:t>
      </w:r>
      <w:r w:rsidR="0007630E" w:rsidRPr="0050741C">
        <w:rPr>
          <w:i/>
          <w:lang w:val="en-US"/>
        </w:rPr>
        <w:t>randing and tourism</w:t>
      </w:r>
    </w:p>
    <w:p w14:paraId="341B2A1F" w14:textId="2945F263" w:rsidR="00C36F54" w:rsidRPr="0050741C" w:rsidRDefault="00E76B83" w:rsidP="00901DF3">
      <w:pPr>
        <w:spacing w:line="480" w:lineRule="auto"/>
        <w:jc w:val="both"/>
        <w:rPr>
          <w:lang w:val="en-US"/>
        </w:rPr>
      </w:pPr>
      <w:r w:rsidRPr="0050741C">
        <w:rPr>
          <w:lang w:val="en-US"/>
        </w:rPr>
        <w:t xml:space="preserve">Quality of life is an </w:t>
      </w:r>
      <w:r w:rsidR="001303A4">
        <w:rPr>
          <w:lang w:val="en-US"/>
        </w:rPr>
        <w:t>inherently</w:t>
      </w:r>
      <w:r w:rsidRPr="0050741C">
        <w:rPr>
          <w:lang w:val="en-US"/>
        </w:rPr>
        <w:t xml:space="preserve"> subjective co</w:t>
      </w:r>
      <w:r w:rsidR="00854896" w:rsidRPr="0050741C">
        <w:rPr>
          <w:lang w:val="en-US"/>
        </w:rPr>
        <w:t xml:space="preserve">ncept. </w:t>
      </w:r>
      <w:r w:rsidRPr="0050741C">
        <w:rPr>
          <w:lang w:val="en-US"/>
        </w:rPr>
        <w:t xml:space="preserve">In transportation contexts, </w:t>
      </w:r>
      <w:r w:rsidR="00854896" w:rsidRPr="0050741C">
        <w:rPr>
          <w:lang w:val="en-US"/>
        </w:rPr>
        <w:t>the concept</w:t>
      </w:r>
      <w:r w:rsidRPr="0050741C">
        <w:rPr>
          <w:lang w:val="en-US"/>
        </w:rPr>
        <w:t xml:space="preserve"> has been linked to physical, mental, social, economic wellbeing</w:t>
      </w:r>
      <w:r w:rsidR="00854896" w:rsidRPr="0050741C">
        <w:rPr>
          <w:lang w:val="en-US"/>
        </w:rPr>
        <w:t xml:space="preserve"> (Lee and Sener 2016)</w:t>
      </w:r>
      <w:r w:rsidR="001303A4">
        <w:rPr>
          <w:lang w:val="en-US"/>
        </w:rPr>
        <w:t>, employment opportunities and social connectedness (Steg and Gifford 2005)</w:t>
      </w:r>
      <w:r w:rsidR="00854896" w:rsidRPr="0050741C">
        <w:rPr>
          <w:lang w:val="en-US"/>
        </w:rPr>
        <w:t xml:space="preserve">. </w:t>
      </w:r>
      <w:r w:rsidR="000C761D">
        <w:rPr>
          <w:lang w:val="en-US"/>
        </w:rPr>
        <w:t>P</w:t>
      </w:r>
      <w:r w:rsidRPr="0050741C">
        <w:rPr>
          <w:lang w:val="en-US"/>
        </w:rPr>
        <w:t>reced</w:t>
      </w:r>
      <w:r w:rsidR="00854896" w:rsidRPr="0050741C">
        <w:rPr>
          <w:lang w:val="en-US"/>
        </w:rPr>
        <w:t>ing sections</w:t>
      </w:r>
      <w:r w:rsidR="000C761D">
        <w:rPr>
          <w:lang w:val="en-US"/>
        </w:rPr>
        <w:t xml:space="preserve"> have captured some of these aspects,</w:t>
      </w:r>
      <w:r w:rsidR="00854896" w:rsidRPr="0050741C">
        <w:rPr>
          <w:lang w:val="en-US"/>
        </w:rPr>
        <w:t xml:space="preserve"> including risks of exposure to collisions, </w:t>
      </w:r>
      <w:r w:rsidR="003C2BF3">
        <w:rPr>
          <w:lang w:val="en-US"/>
        </w:rPr>
        <w:t xml:space="preserve">or </w:t>
      </w:r>
      <w:r w:rsidR="00854896" w:rsidRPr="0050741C">
        <w:rPr>
          <w:lang w:val="en-US"/>
        </w:rPr>
        <w:t>better health</w:t>
      </w:r>
      <w:r w:rsidR="003D6EBC" w:rsidRPr="0050741C">
        <w:rPr>
          <w:lang w:val="en-US"/>
        </w:rPr>
        <w:t xml:space="preserve">. </w:t>
      </w:r>
      <w:r w:rsidR="003C2BF3">
        <w:rPr>
          <w:lang w:val="en-US"/>
        </w:rPr>
        <w:t>In this CBA</w:t>
      </w:r>
      <w:r w:rsidR="00EA3A48" w:rsidRPr="0050741C">
        <w:rPr>
          <w:lang w:val="en-US"/>
        </w:rPr>
        <w:t xml:space="preserve">, </w:t>
      </w:r>
      <w:r w:rsidR="003D6EBC" w:rsidRPr="0050741C">
        <w:rPr>
          <w:lang w:val="en-US"/>
        </w:rPr>
        <w:t>quality of life refers to the differen</w:t>
      </w:r>
      <w:r w:rsidR="00EA3A48" w:rsidRPr="0050741C">
        <w:rPr>
          <w:lang w:val="en-US"/>
        </w:rPr>
        <w:t>ce between a current life-</w:t>
      </w:r>
      <w:r w:rsidR="003D6EBC" w:rsidRPr="0050741C">
        <w:rPr>
          <w:lang w:val="en-US"/>
        </w:rPr>
        <w:t xml:space="preserve">situation in comparison to a potentially ideal life state (Gardner </w:t>
      </w:r>
      <w:r w:rsidR="001303A4">
        <w:rPr>
          <w:lang w:val="en-US"/>
        </w:rPr>
        <w:t xml:space="preserve">&amp; </w:t>
      </w:r>
      <w:r w:rsidR="003D6EBC" w:rsidRPr="0050741C">
        <w:rPr>
          <w:lang w:val="en-US"/>
        </w:rPr>
        <w:t>Weinberg 2013)</w:t>
      </w:r>
      <w:r w:rsidR="003C2BF3">
        <w:rPr>
          <w:lang w:val="en-US"/>
        </w:rPr>
        <w:t xml:space="preserve">, for instance in terms of gains in </w:t>
      </w:r>
      <w:r w:rsidR="003C2BF3" w:rsidRPr="0050741C">
        <w:rPr>
          <w:lang w:val="en-US"/>
        </w:rPr>
        <w:t>mental wellbeing as a result of physical activity</w:t>
      </w:r>
      <w:r w:rsidR="001303A4">
        <w:rPr>
          <w:lang w:val="en-US"/>
        </w:rPr>
        <w:t xml:space="preserve"> </w:t>
      </w:r>
      <w:r w:rsidR="00146F14" w:rsidRPr="0050741C">
        <w:rPr>
          <w:lang w:val="en-US"/>
        </w:rPr>
        <w:t>(</w:t>
      </w:r>
      <w:r w:rsidR="00817B18" w:rsidRPr="0050741C">
        <w:rPr>
          <w:lang w:val="en-US"/>
        </w:rPr>
        <w:t xml:space="preserve">Jia </w:t>
      </w:r>
      <w:r w:rsidR="001303A4">
        <w:rPr>
          <w:lang w:val="en-US"/>
        </w:rPr>
        <w:t>&amp;</w:t>
      </w:r>
      <w:r w:rsidR="00817B18" w:rsidRPr="0050741C">
        <w:rPr>
          <w:lang w:val="en-US"/>
        </w:rPr>
        <w:t xml:space="preserve"> Lubetkin 2005; </w:t>
      </w:r>
      <w:r w:rsidR="00146F14" w:rsidRPr="0050741C">
        <w:rPr>
          <w:lang w:val="en-US"/>
        </w:rPr>
        <w:t xml:space="preserve">Lee </w:t>
      </w:r>
      <w:r w:rsidR="001303A4">
        <w:rPr>
          <w:lang w:val="en-US"/>
        </w:rPr>
        <w:t>&amp;</w:t>
      </w:r>
      <w:r w:rsidR="00146F14" w:rsidRPr="0050741C">
        <w:rPr>
          <w:lang w:val="en-US"/>
        </w:rPr>
        <w:t xml:space="preserve"> Sener 2016</w:t>
      </w:r>
      <w:r w:rsidR="003C2BF3">
        <w:rPr>
          <w:lang w:val="en-US"/>
        </w:rPr>
        <w:t xml:space="preserve">; see also </w:t>
      </w:r>
      <w:r w:rsidR="00684205" w:rsidRPr="0050741C">
        <w:rPr>
          <w:lang w:val="en-US"/>
        </w:rPr>
        <w:t>Hall et al. 2017</w:t>
      </w:r>
      <w:r w:rsidR="00817B18" w:rsidRPr="0050741C">
        <w:rPr>
          <w:lang w:val="en-US"/>
        </w:rPr>
        <w:t>; Saelens et al. 2003</w:t>
      </w:r>
      <w:r w:rsidR="007C2113" w:rsidRPr="0050741C">
        <w:rPr>
          <w:lang w:val="en-US"/>
        </w:rPr>
        <w:t>)</w:t>
      </w:r>
      <w:r w:rsidR="00A9597E" w:rsidRPr="0050741C">
        <w:rPr>
          <w:lang w:val="en-US"/>
        </w:rPr>
        <w:t xml:space="preserve">. </w:t>
      </w:r>
      <w:r w:rsidR="003C2BF3">
        <w:rPr>
          <w:lang w:val="en-US"/>
        </w:rPr>
        <w:t xml:space="preserve">More walkable or bikeable neighborhoods are also perceived </w:t>
      </w:r>
      <w:r w:rsidR="001303A4">
        <w:rPr>
          <w:lang w:val="en-US"/>
        </w:rPr>
        <w:t xml:space="preserve">more positively </w:t>
      </w:r>
      <w:r w:rsidR="003C2BF3">
        <w:rPr>
          <w:lang w:val="en-US"/>
        </w:rPr>
        <w:t>by tourists and have positive branding effects (COWI and City of Copenhagen 2009).</w:t>
      </w:r>
      <w:r w:rsidR="00EE60B3" w:rsidRPr="0050741C">
        <w:rPr>
          <w:lang w:val="en-US"/>
        </w:rPr>
        <w:t xml:space="preserve"> </w:t>
      </w:r>
    </w:p>
    <w:p w14:paraId="157C6DEA" w14:textId="77777777" w:rsidR="00EE60B3" w:rsidRPr="0050741C" w:rsidRDefault="00EE60B3" w:rsidP="00901DF3">
      <w:pPr>
        <w:spacing w:line="480" w:lineRule="auto"/>
        <w:jc w:val="both"/>
        <w:rPr>
          <w:lang w:val="en-US"/>
        </w:rPr>
      </w:pPr>
    </w:p>
    <w:p w14:paraId="112BB2DE" w14:textId="77777777" w:rsidR="00C25884" w:rsidRPr="0050741C" w:rsidRDefault="0059384A" w:rsidP="00901DF3">
      <w:pPr>
        <w:spacing w:line="480" w:lineRule="auto"/>
        <w:rPr>
          <w:b/>
          <w:lang w:val="en-US"/>
        </w:rPr>
      </w:pPr>
      <w:r w:rsidRPr="0050741C">
        <w:rPr>
          <w:b/>
          <w:lang w:val="en-US"/>
        </w:rPr>
        <w:t xml:space="preserve">5. </w:t>
      </w:r>
      <w:r w:rsidR="00C25884" w:rsidRPr="0050741C">
        <w:rPr>
          <w:b/>
          <w:lang w:val="en-US"/>
        </w:rPr>
        <w:t>Results</w:t>
      </w:r>
      <w:r w:rsidR="00094292" w:rsidRPr="0050741C">
        <w:rPr>
          <w:b/>
          <w:lang w:val="en-US"/>
        </w:rPr>
        <w:t xml:space="preserve"> &amp; discussion</w:t>
      </w:r>
    </w:p>
    <w:p w14:paraId="7ED3C5D4" w14:textId="793D28E9" w:rsidR="006A3329" w:rsidRPr="0050741C" w:rsidRDefault="005B10CF" w:rsidP="00901DF3">
      <w:pPr>
        <w:spacing w:line="480" w:lineRule="auto"/>
        <w:jc w:val="both"/>
        <w:rPr>
          <w:lang w:val="en-US"/>
        </w:rPr>
      </w:pPr>
      <w:r w:rsidRPr="0050741C">
        <w:rPr>
          <w:lang w:val="en-US"/>
        </w:rPr>
        <w:lastRenderedPageBreak/>
        <w:t>Table 2 provides an overview of</w:t>
      </w:r>
      <w:r w:rsidR="008C0FDE" w:rsidRPr="0050741C">
        <w:rPr>
          <w:lang w:val="en-US"/>
        </w:rPr>
        <w:t xml:space="preserve"> findings</w:t>
      </w:r>
      <w:r w:rsidR="008344C8">
        <w:rPr>
          <w:lang w:val="en-US"/>
        </w:rPr>
        <w:t xml:space="preserve"> for the EU</w:t>
      </w:r>
      <w:r w:rsidR="008C0FDE" w:rsidRPr="0050741C">
        <w:rPr>
          <w:lang w:val="en-US"/>
        </w:rPr>
        <w:t>.</w:t>
      </w:r>
      <w:r w:rsidRPr="0050741C">
        <w:rPr>
          <w:lang w:val="en-US"/>
        </w:rPr>
        <w:t xml:space="preserve"> </w:t>
      </w:r>
      <w:r w:rsidR="008344C8">
        <w:rPr>
          <w:lang w:val="en-US"/>
        </w:rPr>
        <w:t>Values represent approximations</w:t>
      </w:r>
      <w:r w:rsidR="006A3329" w:rsidRPr="0050741C">
        <w:rPr>
          <w:lang w:val="en-US"/>
        </w:rPr>
        <w:t>,</w:t>
      </w:r>
      <w:r w:rsidR="00F93525" w:rsidRPr="0050741C">
        <w:rPr>
          <w:lang w:val="en-US"/>
        </w:rPr>
        <w:t xml:space="preserve"> </w:t>
      </w:r>
      <w:r w:rsidR="008344C8">
        <w:rPr>
          <w:lang w:val="en-US"/>
        </w:rPr>
        <w:t>confirming</w:t>
      </w:r>
      <w:r w:rsidRPr="0050741C">
        <w:rPr>
          <w:lang w:val="en-US"/>
        </w:rPr>
        <w:t xml:space="preserve"> that the car represents a cost to society, at an average </w:t>
      </w:r>
      <w:r w:rsidR="006A3329" w:rsidRPr="0050741C">
        <w:rPr>
          <w:lang w:val="en-US"/>
        </w:rPr>
        <w:t xml:space="preserve">of €0.11 per </w:t>
      </w:r>
      <w:r w:rsidRPr="0050741C">
        <w:rPr>
          <w:lang w:val="en-US"/>
        </w:rPr>
        <w:t>pkm</w:t>
      </w:r>
      <w:r w:rsidR="006A3329" w:rsidRPr="0050741C">
        <w:rPr>
          <w:lang w:val="en-US"/>
        </w:rPr>
        <w:t xml:space="preserve"> (Table 2)</w:t>
      </w:r>
      <w:r w:rsidRPr="0050741C">
        <w:rPr>
          <w:lang w:val="en-US"/>
        </w:rPr>
        <w:t>.</w:t>
      </w:r>
      <w:r w:rsidR="006A3329" w:rsidRPr="0050741C">
        <w:rPr>
          <w:lang w:val="en-US"/>
        </w:rPr>
        <w:t xml:space="preserve"> This value is higher in countries with a higher GDP. </w:t>
      </w:r>
      <w:r w:rsidR="006A3329" w:rsidRPr="00257C69">
        <w:rPr>
          <w:lang w:val="en-US"/>
        </w:rPr>
        <w:t xml:space="preserve">The most important </w:t>
      </w:r>
      <w:r w:rsidR="00257C69" w:rsidRPr="00257C69">
        <w:rPr>
          <w:lang w:val="en-US"/>
        </w:rPr>
        <w:t>external</w:t>
      </w:r>
      <w:r w:rsidR="006A3329" w:rsidRPr="00257C69">
        <w:rPr>
          <w:lang w:val="en-US"/>
        </w:rPr>
        <w:t xml:space="preserve"> cost</w:t>
      </w:r>
      <w:r w:rsidR="008344C8">
        <w:rPr>
          <w:lang w:val="en-US"/>
        </w:rPr>
        <w:t xml:space="preserve"> facctors</w:t>
      </w:r>
      <w:r w:rsidR="006A3329" w:rsidRPr="00257C69">
        <w:rPr>
          <w:lang w:val="en-US"/>
        </w:rPr>
        <w:t xml:space="preserve"> are infrastructure construction, parking land provisions, roadway land use and climate change. </w:t>
      </w:r>
      <w:r w:rsidR="008344C8">
        <w:rPr>
          <w:lang w:val="en-US"/>
        </w:rPr>
        <w:t>The p</w:t>
      </w:r>
      <w:r w:rsidR="006A3329" w:rsidRPr="0050741C">
        <w:rPr>
          <w:lang w:val="en-US"/>
        </w:rPr>
        <w:t>rivate</w:t>
      </w:r>
      <w:r w:rsidR="00C217B9" w:rsidRPr="0050741C">
        <w:rPr>
          <w:lang w:val="en-US"/>
        </w:rPr>
        <w:t xml:space="preserve"> cost of the </w:t>
      </w:r>
      <w:r w:rsidR="006A3329" w:rsidRPr="0050741C">
        <w:rPr>
          <w:lang w:val="en-US"/>
        </w:rPr>
        <w:t xml:space="preserve">car </w:t>
      </w:r>
      <w:r w:rsidR="008344C8">
        <w:rPr>
          <w:lang w:val="en-US"/>
        </w:rPr>
        <w:t>is</w:t>
      </w:r>
      <w:r w:rsidR="006A3329" w:rsidRPr="0050741C">
        <w:rPr>
          <w:lang w:val="en-US"/>
        </w:rPr>
        <w:t xml:space="preserve"> eight times higher</w:t>
      </w:r>
      <w:r w:rsidR="00F93525" w:rsidRPr="0050741C">
        <w:rPr>
          <w:lang w:val="en-US"/>
        </w:rPr>
        <w:t>, at €0.85 per pkm</w:t>
      </w:r>
      <w:r w:rsidR="006A3329" w:rsidRPr="0050741C">
        <w:rPr>
          <w:lang w:val="en-US"/>
        </w:rPr>
        <w:t xml:space="preserve">. This is largely owed to congestion and </w:t>
      </w:r>
      <w:r w:rsidR="008344C8">
        <w:rPr>
          <w:lang w:val="en-US"/>
        </w:rPr>
        <w:t xml:space="preserve">the value of </w:t>
      </w:r>
      <w:r w:rsidR="006A3329" w:rsidRPr="0050741C">
        <w:rPr>
          <w:lang w:val="en-US"/>
        </w:rPr>
        <w:t xml:space="preserve">travel time. Vehicle operation </w:t>
      </w:r>
      <w:r w:rsidR="00F93525" w:rsidRPr="0050741C">
        <w:rPr>
          <w:lang w:val="en-US"/>
        </w:rPr>
        <w:t>is also a significant cost factor.</w:t>
      </w:r>
      <w:r w:rsidR="00C217B9" w:rsidRPr="0050741C">
        <w:rPr>
          <w:lang w:val="en-US"/>
        </w:rPr>
        <w:t xml:space="preserve"> </w:t>
      </w:r>
    </w:p>
    <w:p w14:paraId="04F1CF41" w14:textId="77777777" w:rsidR="006A3329" w:rsidRPr="0050741C" w:rsidRDefault="006A3329" w:rsidP="00901DF3">
      <w:pPr>
        <w:spacing w:line="480" w:lineRule="auto"/>
        <w:jc w:val="both"/>
        <w:rPr>
          <w:lang w:val="en-US"/>
        </w:rPr>
      </w:pPr>
    </w:p>
    <w:p w14:paraId="24F2BD64" w14:textId="71755475" w:rsidR="003615D6" w:rsidRPr="00257C69" w:rsidRDefault="00C217B9" w:rsidP="00901DF3">
      <w:pPr>
        <w:spacing w:line="480" w:lineRule="auto"/>
        <w:jc w:val="both"/>
        <w:rPr>
          <w:lang w:val="en-US"/>
        </w:rPr>
      </w:pPr>
      <w:r w:rsidRPr="0050741C">
        <w:rPr>
          <w:lang w:val="en-US"/>
        </w:rPr>
        <w:t>Cycling</w:t>
      </w:r>
      <w:r w:rsidR="005B10CF" w:rsidRPr="0050741C">
        <w:rPr>
          <w:lang w:val="en-US"/>
        </w:rPr>
        <w:t xml:space="preserve"> and walking incur </w:t>
      </w:r>
      <w:r w:rsidR="008344C8">
        <w:rPr>
          <w:lang w:val="en-US"/>
        </w:rPr>
        <w:t xml:space="preserve">external </w:t>
      </w:r>
      <w:r w:rsidR="005B10CF" w:rsidRPr="0050741C">
        <w:rPr>
          <w:lang w:val="en-US"/>
        </w:rPr>
        <w:t>benefits, at €0.18/pkm and €0.37/pkm, respectively.</w:t>
      </w:r>
      <w:r w:rsidRPr="0050741C">
        <w:rPr>
          <w:lang w:val="en-US"/>
        </w:rPr>
        <w:t xml:space="preserve"> </w:t>
      </w:r>
      <w:r w:rsidR="008344C8">
        <w:rPr>
          <w:lang w:val="en-US"/>
        </w:rPr>
        <w:t>B</w:t>
      </w:r>
      <w:r w:rsidRPr="0050741C">
        <w:rPr>
          <w:lang w:val="en-US"/>
        </w:rPr>
        <w:t>enefits are largely associated with health</w:t>
      </w:r>
      <w:r w:rsidR="00F93525" w:rsidRPr="0050741C">
        <w:rPr>
          <w:lang w:val="en-US"/>
        </w:rPr>
        <w:t>.</w:t>
      </w:r>
      <w:r w:rsidRPr="0050741C">
        <w:rPr>
          <w:lang w:val="en-US"/>
        </w:rPr>
        <w:t xml:space="preserve"> </w:t>
      </w:r>
      <w:r w:rsidR="00017D42">
        <w:rPr>
          <w:lang w:val="en-US"/>
        </w:rPr>
        <w:t>T</w:t>
      </w:r>
      <w:r w:rsidR="00E46FDA" w:rsidRPr="0050741C">
        <w:rPr>
          <w:lang w:val="en-US"/>
        </w:rPr>
        <w:t xml:space="preserve">hese health benefits are positive even in situations where cycling and walking take place </w:t>
      </w:r>
      <w:r w:rsidR="00A772C7">
        <w:rPr>
          <w:lang w:val="en-US"/>
        </w:rPr>
        <w:t>under</w:t>
      </w:r>
      <w:r w:rsidR="00E46FDA" w:rsidRPr="0050741C">
        <w:rPr>
          <w:lang w:val="en-US"/>
        </w:rPr>
        <w:t xml:space="preserve"> </w:t>
      </w:r>
      <w:r w:rsidR="00F93525" w:rsidRPr="0050741C">
        <w:rPr>
          <w:lang w:val="en-US"/>
        </w:rPr>
        <w:t xml:space="preserve">less </w:t>
      </w:r>
      <w:r w:rsidR="00CB5133" w:rsidRPr="0050741C">
        <w:rPr>
          <w:lang w:val="en-US"/>
        </w:rPr>
        <w:t>favorable</w:t>
      </w:r>
      <w:r w:rsidR="00E46FDA" w:rsidRPr="0050741C">
        <w:rPr>
          <w:lang w:val="en-US"/>
        </w:rPr>
        <w:t xml:space="preserve"> conditions, such as higher levels of air pollution (</w:t>
      </w:r>
      <w:r w:rsidR="00F3446B" w:rsidRPr="0050741C">
        <w:rPr>
          <w:lang w:val="en-US"/>
        </w:rPr>
        <w:t xml:space="preserve">De </w:t>
      </w:r>
      <w:r w:rsidR="00F60B45" w:rsidRPr="0050741C">
        <w:rPr>
          <w:lang w:val="en-US"/>
        </w:rPr>
        <w:t>Hartog et al. 2010</w:t>
      </w:r>
      <w:r w:rsidR="00E46FDA" w:rsidRPr="0050741C">
        <w:rPr>
          <w:lang w:val="en-US"/>
        </w:rPr>
        <w:t xml:space="preserve">). </w:t>
      </w:r>
      <w:r w:rsidR="003615D6" w:rsidRPr="00257C69">
        <w:rPr>
          <w:lang w:val="en-US"/>
        </w:rPr>
        <w:t xml:space="preserve">Better health </w:t>
      </w:r>
      <w:r w:rsidR="00F93525" w:rsidRPr="00257C69">
        <w:rPr>
          <w:lang w:val="en-US"/>
        </w:rPr>
        <w:t xml:space="preserve">also </w:t>
      </w:r>
      <w:r w:rsidR="003615D6" w:rsidRPr="00257C69">
        <w:rPr>
          <w:lang w:val="en-US"/>
        </w:rPr>
        <w:t xml:space="preserve">leads to a small </w:t>
      </w:r>
      <w:r w:rsidR="00257C69" w:rsidRPr="00257C69">
        <w:rPr>
          <w:lang w:val="en-US"/>
        </w:rPr>
        <w:t>external</w:t>
      </w:r>
      <w:r w:rsidR="003615D6" w:rsidRPr="00257C69">
        <w:rPr>
          <w:lang w:val="en-US"/>
        </w:rPr>
        <w:t xml:space="preserve"> cost</w:t>
      </w:r>
      <w:r w:rsidR="00327C68" w:rsidRPr="00257C69">
        <w:rPr>
          <w:lang w:val="en-US"/>
        </w:rPr>
        <w:t xml:space="preserve"> </w:t>
      </w:r>
      <w:r w:rsidR="00A772C7">
        <w:rPr>
          <w:lang w:val="en-US"/>
        </w:rPr>
        <w:t>as a result of</w:t>
      </w:r>
      <w:r w:rsidR="00327C68" w:rsidRPr="00257C69">
        <w:rPr>
          <w:lang w:val="en-US"/>
        </w:rPr>
        <w:t xml:space="preserve"> extended pension payment</w:t>
      </w:r>
      <w:r w:rsidR="00A772C7">
        <w:rPr>
          <w:lang w:val="en-US"/>
        </w:rPr>
        <w:t xml:space="preserve"> needs (prolonged lives)</w:t>
      </w:r>
      <w:r w:rsidR="00327C68" w:rsidRPr="00257C69">
        <w:rPr>
          <w:lang w:val="en-US"/>
        </w:rPr>
        <w:t>.</w:t>
      </w:r>
    </w:p>
    <w:p w14:paraId="4E8F8343" w14:textId="77777777" w:rsidR="003615D6" w:rsidRPr="00257C69" w:rsidRDefault="003615D6" w:rsidP="00901DF3">
      <w:pPr>
        <w:spacing w:line="480" w:lineRule="auto"/>
        <w:jc w:val="both"/>
        <w:rPr>
          <w:lang w:val="en-US"/>
        </w:rPr>
      </w:pPr>
    </w:p>
    <w:p w14:paraId="7B358807" w14:textId="3D6DACC6" w:rsidR="00C217B9" w:rsidRPr="0050741C" w:rsidRDefault="00A772C7" w:rsidP="00901DF3">
      <w:pPr>
        <w:spacing w:line="480" w:lineRule="auto"/>
        <w:jc w:val="both"/>
        <w:rPr>
          <w:lang w:val="en-US"/>
        </w:rPr>
      </w:pPr>
      <w:r>
        <w:rPr>
          <w:lang w:val="en-US"/>
        </w:rPr>
        <w:t>The p</w:t>
      </w:r>
      <w:r w:rsidR="00E46FDA" w:rsidRPr="0050741C">
        <w:rPr>
          <w:lang w:val="en-US"/>
        </w:rPr>
        <w:t xml:space="preserve">rivate cost of cycling </w:t>
      </w:r>
      <w:r>
        <w:rPr>
          <w:lang w:val="en-US"/>
        </w:rPr>
        <w:t>is</w:t>
      </w:r>
      <w:r w:rsidR="007434BE" w:rsidRPr="0050741C">
        <w:rPr>
          <w:lang w:val="en-US"/>
        </w:rPr>
        <w:t xml:space="preserve"> significantly lower than for </w:t>
      </w:r>
      <w:r>
        <w:rPr>
          <w:lang w:val="en-US"/>
        </w:rPr>
        <w:t>driving, and</w:t>
      </w:r>
      <w:r w:rsidR="00E84675" w:rsidRPr="0050741C">
        <w:rPr>
          <w:lang w:val="en-US"/>
        </w:rPr>
        <w:t xml:space="preserve"> arise</w:t>
      </w:r>
      <w:r>
        <w:rPr>
          <w:lang w:val="en-US"/>
        </w:rPr>
        <w:t>s</w:t>
      </w:r>
      <w:r w:rsidR="00E84675" w:rsidRPr="0050741C">
        <w:rPr>
          <w:lang w:val="en-US"/>
        </w:rPr>
        <w:t xml:space="preserve"> mostly out of</w:t>
      </w:r>
      <w:r w:rsidR="00552838" w:rsidRPr="0050741C">
        <w:rPr>
          <w:lang w:val="en-US"/>
        </w:rPr>
        <w:t xml:space="preserve"> </w:t>
      </w:r>
      <w:r w:rsidR="007434BE" w:rsidRPr="0050741C">
        <w:rPr>
          <w:lang w:val="en-US"/>
        </w:rPr>
        <w:t>travel time</w:t>
      </w:r>
      <w:r w:rsidR="00E84675" w:rsidRPr="0050741C">
        <w:rPr>
          <w:lang w:val="en-US"/>
        </w:rPr>
        <w:t xml:space="preserve">, </w:t>
      </w:r>
      <w:r>
        <w:rPr>
          <w:lang w:val="en-US"/>
        </w:rPr>
        <w:t>as vehicles are prioritized in traffic</w:t>
      </w:r>
      <w:r w:rsidR="0065181B" w:rsidRPr="0050741C">
        <w:rPr>
          <w:lang w:val="en-US"/>
        </w:rPr>
        <w:t>.</w:t>
      </w:r>
      <w:r w:rsidR="007434BE" w:rsidRPr="0050741C">
        <w:rPr>
          <w:lang w:val="en-US"/>
        </w:rPr>
        <w:t xml:space="preserve"> </w:t>
      </w:r>
      <w:r w:rsidR="0065181B" w:rsidRPr="0050741C">
        <w:rPr>
          <w:lang w:val="en-US"/>
        </w:rPr>
        <w:t>Given their higher respiration rates (Panis et al. 2010), cyclists are</w:t>
      </w:r>
      <w:r>
        <w:rPr>
          <w:lang w:val="en-US"/>
        </w:rPr>
        <w:t xml:space="preserve"> specifically</w:t>
      </w:r>
      <w:r w:rsidR="0065181B" w:rsidRPr="0050741C">
        <w:rPr>
          <w:lang w:val="en-US"/>
        </w:rPr>
        <w:t xml:space="preserve"> exposed to air pollutants</w:t>
      </w:r>
      <w:r>
        <w:rPr>
          <w:lang w:val="en-US"/>
        </w:rPr>
        <w:t xml:space="preserve"> from motorized transportation</w:t>
      </w:r>
      <w:r w:rsidR="0065181B" w:rsidRPr="0050741C">
        <w:rPr>
          <w:lang w:val="en-US"/>
        </w:rPr>
        <w:t>. C</w:t>
      </w:r>
      <w:r w:rsidR="00F70769" w:rsidRPr="0050741C">
        <w:rPr>
          <w:lang w:val="en-US"/>
        </w:rPr>
        <w:t xml:space="preserve">yclists are known to engage in detours to avoid </w:t>
      </w:r>
      <w:r w:rsidR="0065181B" w:rsidRPr="0050741C">
        <w:rPr>
          <w:lang w:val="en-US"/>
        </w:rPr>
        <w:t>negative externalities of the car</w:t>
      </w:r>
      <w:r w:rsidR="00F70769" w:rsidRPr="0050741C">
        <w:rPr>
          <w:lang w:val="en-US"/>
        </w:rPr>
        <w:t>, at a considerable time cost</w:t>
      </w:r>
      <w:r>
        <w:rPr>
          <w:lang w:val="en-US"/>
        </w:rPr>
        <w:t xml:space="preserve"> (Gössling et al. 2018)</w:t>
      </w:r>
      <w:r w:rsidR="00F70769" w:rsidRPr="0050741C">
        <w:rPr>
          <w:lang w:val="en-US"/>
        </w:rPr>
        <w:t>.</w:t>
      </w:r>
      <w:r w:rsidR="003615D6" w:rsidRPr="0050741C">
        <w:rPr>
          <w:lang w:val="en-US"/>
        </w:rPr>
        <w:t xml:space="preserve"> </w:t>
      </w:r>
      <w:r>
        <w:rPr>
          <w:lang w:val="en-US"/>
        </w:rPr>
        <w:t>This also applies to walking.</w:t>
      </w:r>
    </w:p>
    <w:p w14:paraId="2C3D5760" w14:textId="77777777" w:rsidR="00E46FDA" w:rsidRPr="0050741C" w:rsidRDefault="00E46FDA" w:rsidP="00901DF3">
      <w:pPr>
        <w:spacing w:line="480" w:lineRule="auto"/>
        <w:jc w:val="both"/>
        <w:rPr>
          <w:lang w:val="en-US"/>
        </w:rPr>
      </w:pPr>
    </w:p>
    <w:p w14:paraId="7B3158D6" w14:textId="556922EC" w:rsidR="005B10CF" w:rsidRPr="0050741C" w:rsidRDefault="005B10CF" w:rsidP="00901DF3">
      <w:pPr>
        <w:spacing w:line="480" w:lineRule="auto"/>
        <w:jc w:val="both"/>
        <w:rPr>
          <w:lang w:val="en-US"/>
        </w:rPr>
      </w:pPr>
      <w:r w:rsidRPr="0050741C">
        <w:rPr>
          <w:lang w:val="en-US"/>
        </w:rPr>
        <w:t>Extrapolated to the number of km driven (4.719 trillion</w:t>
      </w:r>
      <w:r w:rsidR="00F70769" w:rsidRPr="0050741C">
        <w:rPr>
          <w:lang w:val="en-US"/>
        </w:rPr>
        <w:t xml:space="preserve"> pkm</w:t>
      </w:r>
      <w:r w:rsidRPr="0050741C">
        <w:rPr>
          <w:lang w:val="en-US"/>
        </w:rPr>
        <w:t>), cycled (0.134 trillion</w:t>
      </w:r>
      <w:r w:rsidR="00F70769" w:rsidRPr="0050741C">
        <w:rPr>
          <w:lang w:val="en-US"/>
        </w:rPr>
        <w:t xml:space="preserve"> pkm</w:t>
      </w:r>
      <w:r w:rsidRPr="0050741C">
        <w:rPr>
          <w:lang w:val="en-US"/>
        </w:rPr>
        <w:t>) or walked (0.180 trillion</w:t>
      </w:r>
      <w:r w:rsidR="00F70769" w:rsidRPr="0050741C">
        <w:rPr>
          <w:lang w:val="en-US"/>
        </w:rPr>
        <w:t xml:space="preserve"> pkm</w:t>
      </w:r>
      <w:r w:rsidRPr="0050741C">
        <w:rPr>
          <w:lang w:val="en-US"/>
        </w:rPr>
        <w:t xml:space="preserve">) in </w:t>
      </w:r>
      <w:r w:rsidR="00A772C7">
        <w:rPr>
          <w:lang w:val="en-US"/>
        </w:rPr>
        <w:t>the EU</w:t>
      </w:r>
      <w:r w:rsidRPr="0050741C">
        <w:rPr>
          <w:lang w:val="en-US"/>
        </w:rPr>
        <w:t xml:space="preserve">, the </w:t>
      </w:r>
      <w:r w:rsidR="00A772C7">
        <w:rPr>
          <w:lang w:val="en-US"/>
        </w:rPr>
        <w:t xml:space="preserve">external </w:t>
      </w:r>
      <w:r w:rsidRPr="0050741C">
        <w:rPr>
          <w:lang w:val="en-US"/>
        </w:rPr>
        <w:t xml:space="preserve">cost of automobility is about €500 billion per year, while cycling </w:t>
      </w:r>
      <w:r w:rsidR="00F70769" w:rsidRPr="0050741C">
        <w:rPr>
          <w:lang w:val="en-US"/>
        </w:rPr>
        <w:t>and walking represent</w:t>
      </w:r>
      <w:r w:rsidRPr="0050741C">
        <w:rPr>
          <w:lang w:val="en-US"/>
        </w:rPr>
        <w:t xml:space="preserve"> benefit</w:t>
      </w:r>
      <w:r w:rsidR="00F70769" w:rsidRPr="0050741C">
        <w:rPr>
          <w:lang w:val="en-US"/>
        </w:rPr>
        <w:t>s</w:t>
      </w:r>
      <w:r w:rsidRPr="0050741C">
        <w:rPr>
          <w:lang w:val="en-US"/>
        </w:rPr>
        <w:t xml:space="preserve"> of €24 billion</w:t>
      </w:r>
      <w:r w:rsidR="00F70769" w:rsidRPr="0050741C">
        <w:rPr>
          <w:lang w:val="en-US"/>
        </w:rPr>
        <w:t xml:space="preserve"> and</w:t>
      </w:r>
      <w:r w:rsidRPr="0050741C">
        <w:rPr>
          <w:lang w:val="en-US"/>
        </w:rPr>
        <w:t xml:space="preserve"> €66 billion.</w:t>
      </w:r>
      <w:r w:rsidR="00F70769" w:rsidRPr="0050741C">
        <w:rPr>
          <w:lang w:val="en-US"/>
        </w:rPr>
        <w:t xml:space="preserve"> In the future, these costs can be expected to change.</w:t>
      </w:r>
      <w:r w:rsidR="00A772C7">
        <w:rPr>
          <w:lang w:val="en-US"/>
        </w:rPr>
        <w:t xml:space="preserve"> The cost of health services may increase, for example.</w:t>
      </w:r>
      <w:r w:rsidR="00F70769" w:rsidRPr="0050741C">
        <w:rPr>
          <w:lang w:val="en-US"/>
        </w:rPr>
        <w:t xml:space="preserve"> Other</w:t>
      </w:r>
      <w:r w:rsidR="00A772C7">
        <w:rPr>
          <w:lang w:val="en-US"/>
        </w:rPr>
        <w:t xml:space="preserve"> aspects</w:t>
      </w:r>
      <w:r w:rsidR="00F70769" w:rsidRPr="0050741C">
        <w:rPr>
          <w:lang w:val="en-US"/>
        </w:rPr>
        <w:t xml:space="preserve"> can be expected to lose relevance, </w:t>
      </w:r>
      <w:r w:rsidR="003A363C" w:rsidRPr="0050741C">
        <w:rPr>
          <w:lang w:val="en-US"/>
        </w:rPr>
        <w:t xml:space="preserve">as motorized traffic becomes </w:t>
      </w:r>
      <w:r w:rsidR="002F6CD8" w:rsidRPr="0050741C">
        <w:rPr>
          <w:lang w:val="en-US"/>
        </w:rPr>
        <w:t>quieter and cleaner</w:t>
      </w:r>
      <w:r w:rsidR="00F70769" w:rsidRPr="0050741C">
        <w:rPr>
          <w:lang w:val="en-US"/>
        </w:rPr>
        <w:t xml:space="preserve">. Whether the overall cost of the transport system will increase or decrease </w:t>
      </w:r>
      <w:r w:rsidR="00A772C7">
        <w:rPr>
          <w:lang w:val="en-US"/>
        </w:rPr>
        <w:lastRenderedPageBreak/>
        <w:t>will</w:t>
      </w:r>
      <w:r w:rsidR="002F6CD8" w:rsidRPr="0050741C">
        <w:rPr>
          <w:lang w:val="en-US"/>
        </w:rPr>
        <w:t xml:space="preserve"> </w:t>
      </w:r>
      <w:r w:rsidR="00F70769" w:rsidRPr="0050741C">
        <w:rPr>
          <w:lang w:val="en-US"/>
        </w:rPr>
        <w:t xml:space="preserve">depend on </w:t>
      </w:r>
      <w:r w:rsidR="00B41DE4" w:rsidRPr="0050741C">
        <w:rPr>
          <w:lang w:val="en-US"/>
        </w:rPr>
        <w:t>transport governance</w:t>
      </w:r>
      <w:r w:rsidR="00315E62" w:rsidRPr="0050741C">
        <w:rPr>
          <w:lang w:val="en-US"/>
        </w:rPr>
        <w:t>. Current policies continue</w:t>
      </w:r>
      <w:r w:rsidR="00B41DE4" w:rsidRPr="0050741C">
        <w:rPr>
          <w:lang w:val="en-US"/>
        </w:rPr>
        <w:t xml:space="preserve"> to </w:t>
      </w:r>
      <w:r w:rsidR="00CB5133" w:rsidRPr="0050741C">
        <w:rPr>
          <w:lang w:val="en-US"/>
        </w:rPr>
        <w:t>favor</w:t>
      </w:r>
      <w:r w:rsidR="00315E62" w:rsidRPr="0050741C">
        <w:rPr>
          <w:lang w:val="en-US"/>
        </w:rPr>
        <w:t xml:space="preserve"> the automobile</w:t>
      </w:r>
      <w:r w:rsidR="00B41DE4" w:rsidRPr="0050741C">
        <w:rPr>
          <w:lang w:val="en-US"/>
        </w:rPr>
        <w:t xml:space="preserve"> (</w:t>
      </w:r>
      <w:r w:rsidR="00A772C7">
        <w:rPr>
          <w:lang w:val="en-US"/>
        </w:rPr>
        <w:t xml:space="preserve">e.g. </w:t>
      </w:r>
      <w:r w:rsidR="00B41DE4" w:rsidRPr="0050741C">
        <w:rPr>
          <w:lang w:val="en-US"/>
        </w:rPr>
        <w:t>Hutton 2013)</w:t>
      </w:r>
      <w:r w:rsidR="00B14D4C" w:rsidRPr="0050741C">
        <w:rPr>
          <w:lang w:val="en-US"/>
        </w:rPr>
        <w:t xml:space="preserve">. As this paper suggests, </w:t>
      </w:r>
      <w:r w:rsidR="00A772C7">
        <w:rPr>
          <w:lang w:val="en-US"/>
        </w:rPr>
        <w:t>the</w:t>
      </w:r>
      <w:r w:rsidR="00315E62" w:rsidRPr="0050741C">
        <w:rPr>
          <w:lang w:val="en-US"/>
        </w:rPr>
        <w:t xml:space="preserve"> reason </w:t>
      </w:r>
      <w:r w:rsidR="00A772C7">
        <w:rPr>
          <w:lang w:val="en-US"/>
        </w:rPr>
        <w:t xml:space="preserve">for this may be </w:t>
      </w:r>
      <w:r w:rsidR="00315E62" w:rsidRPr="0050741C">
        <w:rPr>
          <w:lang w:val="en-US"/>
        </w:rPr>
        <w:t>that the true cost of automobility</w:t>
      </w:r>
      <w:r w:rsidR="00A772C7">
        <w:rPr>
          <w:lang w:val="en-US"/>
        </w:rPr>
        <w:t xml:space="preserve"> is</w:t>
      </w:r>
      <w:r w:rsidR="00315E62" w:rsidRPr="0050741C">
        <w:rPr>
          <w:lang w:val="en-US"/>
        </w:rPr>
        <w:t xml:space="preserve"> systematically underestimated</w:t>
      </w:r>
      <w:r w:rsidR="00B14D4C" w:rsidRPr="0050741C">
        <w:rPr>
          <w:lang w:val="en-US"/>
        </w:rPr>
        <w:t xml:space="preserve"> (cf. EC 2014)</w:t>
      </w:r>
      <w:r w:rsidR="00315E62" w:rsidRPr="0050741C">
        <w:rPr>
          <w:lang w:val="en-US"/>
        </w:rPr>
        <w:t>.</w:t>
      </w:r>
    </w:p>
    <w:p w14:paraId="5AE2C510" w14:textId="77777777" w:rsidR="00FA3F1E" w:rsidRPr="0050741C" w:rsidRDefault="00FA3F1E" w:rsidP="00901DF3">
      <w:pPr>
        <w:spacing w:line="480" w:lineRule="auto"/>
        <w:rPr>
          <w:lang w:val="en-US"/>
        </w:rPr>
      </w:pPr>
    </w:p>
    <w:p w14:paraId="48AECA95" w14:textId="7793AE8C" w:rsidR="00E46FE4" w:rsidRPr="00257C69" w:rsidRDefault="003F01B1" w:rsidP="00901DF3">
      <w:pPr>
        <w:tabs>
          <w:tab w:val="left" w:pos="982"/>
        </w:tabs>
        <w:spacing w:line="480" w:lineRule="auto"/>
        <w:rPr>
          <w:b/>
          <w:lang w:val="en-US"/>
        </w:rPr>
      </w:pPr>
      <w:r w:rsidRPr="00257C69">
        <w:rPr>
          <w:b/>
          <w:lang w:val="en-US"/>
        </w:rPr>
        <w:t xml:space="preserve">Table </w:t>
      </w:r>
      <w:r w:rsidR="00D9139E" w:rsidRPr="00257C69">
        <w:rPr>
          <w:b/>
          <w:lang w:val="en-US"/>
        </w:rPr>
        <w:t>2</w:t>
      </w:r>
      <w:r w:rsidR="00EE684D" w:rsidRPr="00257C69">
        <w:rPr>
          <w:b/>
          <w:lang w:val="en-US"/>
        </w:rPr>
        <w:t xml:space="preserve">: </w:t>
      </w:r>
      <w:r w:rsidR="00A772C7">
        <w:rPr>
          <w:b/>
          <w:lang w:val="en-US"/>
        </w:rPr>
        <w:t>The e</w:t>
      </w:r>
      <w:r w:rsidR="00257C69" w:rsidRPr="00257C69">
        <w:rPr>
          <w:b/>
          <w:lang w:val="en-US"/>
        </w:rPr>
        <w:t>xternal</w:t>
      </w:r>
      <w:r w:rsidR="005B10CF" w:rsidRPr="00257C69">
        <w:rPr>
          <w:b/>
          <w:lang w:val="en-US"/>
        </w:rPr>
        <w:t xml:space="preserve"> and private cost of car, bicycle and walking</w:t>
      </w:r>
    </w:p>
    <w:tbl>
      <w:tblPr>
        <w:tblW w:w="9152" w:type="dxa"/>
        <w:tblInd w:w="65" w:type="dxa"/>
        <w:tblLayout w:type="fixed"/>
        <w:tblCellMar>
          <w:left w:w="70" w:type="dxa"/>
          <w:right w:w="70" w:type="dxa"/>
        </w:tblCellMar>
        <w:tblLook w:val="04A0" w:firstRow="1" w:lastRow="0" w:firstColumn="1" w:lastColumn="0" w:noHBand="0" w:noVBand="1"/>
      </w:tblPr>
      <w:tblGrid>
        <w:gridCol w:w="3240"/>
        <w:gridCol w:w="985"/>
        <w:gridCol w:w="880"/>
        <w:gridCol w:w="985"/>
        <w:gridCol w:w="1019"/>
        <w:gridCol w:w="891"/>
        <w:gridCol w:w="1152"/>
      </w:tblGrid>
      <w:tr w:rsidR="001B1C04" w:rsidRPr="001051A3" w14:paraId="6D357BA4" w14:textId="6B32FC24" w:rsidTr="00257C69">
        <w:trPr>
          <w:trHeight w:val="720"/>
        </w:trPr>
        <w:tc>
          <w:tcPr>
            <w:tcW w:w="3240" w:type="dxa"/>
            <w:vMerge w:val="restart"/>
            <w:tcBorders>
              <w:top w:val="single" w:sz="4" w:space="0" w:color="auto"/>
              <w:left w:val="single" w:sz="4" w:space="0" w:color="auto"/>
              <w:right w:val="nil"/>
            </w:tcBorders>
            <w:vAlign w:val="center"/>
            <w:hideMark/>
          </w:tcPr>
          <w:p w14:paraId="5894AF31" w14:textId="480A874D" w:rsidR="001B1C04" w:rsidRPr="001051A3" w:rsidRDefault="001B1C04" w:rsidP="00901DF3">
            <w:pPr>
              <w:spacing w:line="480" w:lineRule="auto"/>
              <w:rPr>
                <w:b/>
                <w:bCs/>
                <w:color w:val="000000"/>
                <w:sz w:val="20"/>
                <w:szCs w:val="20"/>
              </w:rPr>
            </w:pPr>
            <w:r>
              <w:rPr>
                <w:b/>
                <w:bCs/>
                <w:color w:val="000000"/>
                <w:sz w:val="20"/>
                <w:szCs w:val="20"/>
              </w:rPr>
              <w:t>Parameter</w:t>
            </w:r>
          </w:p>
        </w:tc>
        <w:tc>
          <w:tcPr>
            <w:tcW w:w="1865" w:type="dxa"/>
            <w:gridSpan w:val="2"/>
            <w:tcBorders>
              <w:top w:val="single" w:sz="4" w:space="0" w:color="auto"/>
              <w:left w:val="single" w:sz="4" w:space="0" w:color="auto"/>
              <w:bottom w:val="single" w:sz="4" w:space="0" w:color="auto"/>
              <w:right w:val="nil"/>
            </w:tcBorders>
            <w:shd w:val="clear" w:color="auto" w:fill="auto"/>
            <w:vAlign w:val="center"/>
            <w:hideMark/>
          </w:tcPr>
          <w:p w14:paraId="53A619C4" w14:textId="23BC5634" w:rsidR="001B1C04" w:rsidRPr="001051A3" w:rsidRDefault="001B1C04" w:rsidP="00901DF3">
            <w:pPr>
              <w:spacing w:line="480" w:lineRule="auto"/>
              <w:jc w:val="center"/>
              <w:rPr>
                <w:b/>
                <w:bCs/>
                <w:color w:val="000000"/>
                <w:sz w:val="20"/>
                <w:szCs w:val="20"/>
              </w:rPr>
            </w:pPr>
            <w:r w:rsidRPr="001051A3">
              <w:rPr>
                <w:b/>
                <w:bCs/>
                <w:color w:val="000000"/>
                <w:sz w:val="20"/>
                <w:szCs w:val="20"/>
              </w:rPr>
              <w:t>Car, €</w:t>
            </w:r>
            <w:r w:rsidRPr="001051A3">
              <w:rPr>
                <w:b/>
                <w:bCs/>
                <w:color w:val="000000"/>
                <w:sz w:val="20"/>
                <w:szCs w:val="20"/>
                <w:vertAlign w:val="subscript"/>
              </w:rPr>
              <w:t>2017</w:t>
            </w:r>
            <w:r w:rsidRPr="001051A3">
              <w:rPr>
                <w:b/>
                <w:bCs/>
                <w:color w:val="000000"/>
                <w:sz w:val="20"/>
                <w:szCs w:val="20"/>
              </w:rPr>
              <w:t>/pkm</w:t>
            </w:r>
          </w:p>
        </w:tc>
        <w:tc>
          <w:tcPr>
            <w:tcW w:w="2004" w:type="dxa"/>
            <w:gridSpan w:val="2"/>
            <w:tcBorders>
              <w:top w:val="single" w:sz="4" w:space="0" w:color="auto"/>
              <w:left w:val="nil"/>
              <w:bottom w:val="single" w:sz="4" w:space="0" w:color="auto"/>
              <w:right w:val="nil"/>
            </w:tcBorders>
            <w:shd w:val="clear" w:color="auto" w:fill="auto"/>
            <w:vAlign w:val="center"/>
            <w:hideMark/>
          </w:tcPr>
          <w:p w14:paraId="4BF0771D" w14:textId="48556F52" w:rsidR="001B1C04" w:rsidRPr="001051A3" w:rsidRDefault="001B1C04" w:rsidP="00901DF3">
            <w:pPr>
              <w:spacing w:line="480" w:lineRule="auto"/>
              <w:jc w:val="center"/>
              <w:rPr>
                <w:b/>
                <w:bCs/>
                <w:color w:val="000000"/>
                <w:sz w:val="20"/>
                <w:szCs w:val="20"/>
              </w:rPr>
            </w:pPr>
            <w:r>
              <w:rPr>
                <w:b/>
                <w:bCs/>
                <w:color w:val="000000"/>
                <w:sz w:val="20"/>
                <w:szCs w:val="20"/>
              </w:rPr>
              <w:t>Bicycle</w:t>
            </w:r>
            <w:r w:rsidRPr="001051A3">
              <w:rPr>
                <w:b/>
                <w:bCs/>
                <w:color w:val="000000"/>
                <w:sz w:val="20"/>
                <w:szCs w:val="20"/>
              </w:rPr>
              <w:t>, €</w:t>
            </w:r>
            <w:r w:rsidRPr="001051A3">
              <w:rPr>
                <w:b/>
                <w:bCs/>
                <w:color w:val="000000"/>
                <w:sz w:val="20"/>
                <w:szCs w:val="20"/>
                <w:vertAlign w:val="subscript"/>
              </w:rPr>
              <w:t>2017</w:t>
            </w:r>
            <w:r w:rsidRPr="001051A3">
              <w:rPr>
                <w:b/>
                <w:bCs/>
                <w:color w:val="000000"/>
                <w:sz w:val="20"/>
                <w:szCs w:val="20"/>
              </w:rPr>
              <w:t>/pkm</w:t>
            </w:r>
          </w:p>
        </w:tc>
        <w:tc>
          <w:tcPr>
            <w:tcW w:w="2043" w:type="dxa"/>
            <w:gridSpan w:val="2"/>
            <w:tcBorders>
              <w:top w:val="single" w:sz="4" w:space="0" w:color="auto"/>
              <w:bottom w:val="single" w:sz="4" w:space="0" w:color="auto"/>
              <w:right w:val="single" w:sz="4" w:space="0" w:color="auto"/>
            </w:tcBorders>
            <w:vAlign w:val="center"/>
          </w:tcPr>
          <w:p w14:paraId="79C2038F" w14:textId="3736AFFE" w:rsidR="001B1C04" w:rsidRPr="001051A3" w:rsidRDefault="001B1C04" w:rsidP="00901DF3">
            <w:pPr>
              <w:spacing w:line="480" w:lineRule="auto"/>
            </w:pPr>
            <w:r>
              <w:rPr>
                <w:b/>
                <w:bCs/>
                <w:color w:val="000000"/>
                <w:sz w:val="20"/>
                <w:szCs w:val="20"/>
              </w:rPr>
              <w:t>Walking</w:t>
            </w:r>
            <w:r w:rsidRPr="001051A3">
              <w:rPr>
                <w:b/>
                <w:bCs/>
                <w:color w:val="000000"/>
                <w:sz w:val="20"/>
                <w:szCs w:val="20"/>
              </w:rPr>
              <w:t>, €</w:t>
            </w:r>
            <w:r w:rsidRPr="001051A3">
              <w:rPr>
                <w:b/>
                <w:bCs/>
                <w:color w:val="000000"/>
                <w:sz w:val="20"/>
                <w:szCs w:val="20"/>
                <w:vertAlign w:val="subscript"/>
              </w:rPr>
              <w:t>2017</w:t>
            </w:r>
            <w:r w:rsidRPr="001051A3">
              <w:rPr>
                <w:b/>
                <w:bCs/>
                <w:color w:val="000000"/>
                <w:sz w:val="20"/>
                <w:szCs w:val="20"/>
              </w:rPr>
              <w:t>/pkm</w:t>
            </w:r>
          </w:p>
        </w:tc>
      </w:tr>
      <w:tr w:rsidR="001B1C04" w:rsidRPr="001051A3" w14:paraId="31AC0532" w14:textId="77777777" w:rsidTr="00257C69">
        <w:trPr>
          <w:trHeight w:val="300"/>
        </w:trPr>
        <w:tc>
          <w:tcPr>
            <w:tcW w:w="3240" w:type="dxa"/>
            <w:vMerge/>
            <w:tcBorders>
              <w:left w:val="single" w:sz="4" w:space="0" w:color="auto"/>
              <w:bottom w:val="single" w:sz="4" w:space="0" w:color="auto"/>
              <w:right w:val="nil"/>
            </w:tcBorders>
            <w:shd w:val="clear" w:color="auto" w:fill="auto"/>
            <w:vAlign w:val="center"/>
          </w:tcPr>
          <w:p w14:paraId="0E34154E" w14:textId="77777777" w:rsidR="001B1C04" w:rsidRPr="001051A3" w:rsidRDefault="001B1C04" w:rsidP="00901DF3">
            <w:pPr>
              <w:spacing w:line="480" w:lineRule="auto"/>
              <w:rPr>
                <w:color w:val="000000"/>
                <w:sz w:val="20"/>
                <w:szCs w:val="20"/>
              </w:rPr>
            </w:pPr>
          </w:p>
        </w:tc>
        <w:tc>
          <w:tcPr>
            <w:tcW w:w="985" w:type="dxa"/>
            <w:tcBorders>
              <w:top w:val="single" w:sz="4" w:space="0" w:color="auto"/>
              <w:left w:val="single" w:sz="4" w:space="0" w:color="auto"/>
              <w:bottom w:val="single" w:sz="4" w:space="0" w:color="auto"/>
              <w:right w:val="nil"/>
            </w:tcBorders>
            <w:shd w:val="clear" w:color="auto" w:fill="auto"/>
            <w:vAlign w:val="center"/>
          </w:tcPr>
          <w:p w14:paraId="7F22112C" w14:textId="638F5C9E" w:rsidR="001B1C04" w:rsidRPr="001051A3" w:rsidRDefault="00257C69" w:rsidP="00901DF3">
            <w:pPr>
              <w:spacing w:line="480" w:lineRule="auto"/>
              <w:jc w:val="center"/>
              <w:rPr>
                <w:b/>
                <w:bCs/>
                <w:color w:val="000000"/>
                <w:sz w:val="20"/>
                <w:szCs w:val="20"/>
              </w:rPr>
            </w:pPr>
            <w:r>
              <w:rPr>
                <w:b/>
                <w:bCs/>
                <w:color w:val="000000"/>
                <w:sz w:val="20"/>
                <w:szCs w:val="20"/>
              </w:rPr>
              <w:t>External</w:t>
            </w:r>
          </w:p>
        </w:tc>
        <w:tc>
          <w:tcPr>
            <w:tcW w:w="880" w:type="dxa"/>
            <w:tcBorders>
              <w:top w:val="single" w:sz="4" w:space="0" w:color="auto"/>
              <w:left w:val="nil"/>
              <w:bottom w:val="single" w:sz="4" w:space="0" w:color="auto"/>
              <w:right w:val="nil"/>
            </w:tcBorders>
            <w:shd w:val="clear" w:color="auto" w:fill="auto"/>
            <w:vAlign w:val="center"/>
          </w:tcPr>
          <w:p w14:paraId="58F9BBE5" w14:textId="601D7871" w:rsidR="001B1C04" w:rsidRPr="001051A3" w:rsidRDefault="001B1C04" w:rsidP="00901DF3">
            <w:pPr>
              <w:spacing w:line="480" w:lineRule="auto"/>
              <w:jc w:val="center"/>
              <w:rPr>
                <w:color w:val="000000"/>
                <w:sz w:val="20"/>
                <w:szCs w:val="20"/>
              </w:rPr>
            </w:pPr>
            <w:r w:rsidRPr="001051A3">
              <w:rPr>
                <w:b/>
                <w:bCs/>
                <w:color w:val="000000"/>
                <w:sz w:val="20"/>
                <w:szCs w:val="20"/>
              </w:rPr>
              <w:t>Private</w:t>
            </w:r>
          </w:p>
        </w:tc>
        <w:tc>
          <w:tcPr>
            <w:tcW w:w="985" w:type="dxa"/>
            <w:tcBorders>
              <w:top w:val="single" w:sz="4" w:space="0" w:color="auto"/>
              <w:left w:val="nil"/>
              <w:bottom w:val="single" w:sz="4" w:space="0" w:color="auto"/>
              <w:right w:val="nil"/>
            </w:tcBorders>
            <w:shd w:val="clear" w:color="auto" w:fill="auto"/>
            <w:vAlign w:val="center"/>
          </w:tcPr>
          <w:p w14:paraId="7FAA2438" w14:textId="4360C588" w:rsidR="001B1C04" w:rsidRPr="001051A3" w:rsidRDefault="00257C69" w:rsidP="00901DF3">
            <w:pPr>
              <w:spacing w:line="480" w:lineRule="auto"/>
              <w:jc w:val="center"/>
              <w:rPr>
                <w:b/>
                <w:bCs/>
                <w:color w:val="000000"/>
                <w:sz w:val="20"/>
                <w:szCs w:val="20"/>
              </w:rPr>
            </w:pPr>
            <w:r>
              <w:rPr>
                <w:b/>
                <w:bCs/>
                <w:color w:val="000000"/>
                <w:sz w:val="20"/>
                <w:szCs w:val="20"/>
              </w:rPr>
              <w:t>External</w:t>
            </w:r>
          </w:p>
        </w:tc>
        <w:tc>
          <w:tcPr>
            <w:tcW w:w="1019" w:type="dxa"/>
            <w:tcBorders>
              <w:top w:val="single" w:sz="4" w:space="0" w:color="auto"/>
              <w:left w:val="nil"/>
              <w:bottom w:val="single" w:sz="4" w:space="0" w:color="auto"/>
              <w:right w:val="nil"/>
            </w:tcBorders>
            <w:shd w:val="clear" w:color="auto" w:fill="auto"/>
            <w:vAlign w:val="center"/>
          </w:tcPr>
          <w:p w14:paraId="3D3C64FE" w14:textId="241ADD98" w:rsidR="001B1C04" w:rsidRPr="001051A3" w:rsidRDefault="001B1C04" w:rsidP="00901DF3">
            <w:pPr>
              <w:spacing w:line="480" w:lineRule="auto"/>
              <w:jc w:val="center"/>
              <w:rPr>
                <w:color w:val="000000"/>
                <w:sz w:val="20"/>
                <w:szCs w:val="20"/>
              </w:rPr>
            </w:pPr>
            <w:r w:rsidRPr="001051A3">
              <w:rPr>
                <w:b/>
                <w:bCs/>
                <w:color w:val="000000"/>
                <w:sz w:val="20"/>
                <w:szCs w:val="20"/>
              </w:rPr>
              <w:t>Private</w:t>
            </w:r>
          </w:p>
        </w:tc>
        <w:tc>
          <w:tcPr>
            <w:tcW w:w="891" w:type="dxa"/>
            <w:tcBorders>
              <w:top w:val="single" w:sz="4" w:space="0" w:color="auto"/>
              <w:bottom w:val="single" w:sz="4" w:space="0" w:color="auto"/>
            </w:tcBorders>
            <w:vAlign w:val="center"/>
          </w:tcPr>
          <w:p w14:paraId="50FB266F" w14:textId="706FE3A3" w:rsidR="001B1C04" w:rsidRPr="001051A3" w:rsidRDefault="00257C69" w:rsidP="00901DF3">
            <w:pPr>
              <w:spacing w:line="480" w:lineRule="auto"/>
              <w:rPr>
                <w:b/>
                <w:bCs/>
                <w:color w:val="000000"/>
                <w:sz w:val="20"/>
                <w:szCs w:val="20"/>
              </w:rPr>
            </w:pPr>
            <w:r>
              <w:rPr>
                <w:b/>
                <w:bCs/>
                <w:color w:val="000000"/>
                <w:sz w:val="20"/>
                <w:szCs w:val="20"/>
              </w:rPr>
              <w:t>External</w:t>
            </w:r>
          </w:p>
        </w:tc>
        <w:tc>
          <w:tcPr>
            <w:tcW w:w="1148" w:type="dxa"/>
            <w:tcBorders>
              <w:top w:val="single" w:sz="4" w:space="0" w:color="auto"/>
              <w:bottom w:val="single" w:sz="4" w:space="0" w:color="auto"/>
              <w:right w:val="single" w:sz="4" w:space="0" w:color="auto"/>
            </w:tcBorders>
            <w:vAlign w:val="center"/>
          </w:tcPr>
          <w:p w14:paraId="4DFE5913" w14:textId="4E362084" w:rsidR="001B1C04" w:rsidRPr="001051A3" w:rsidRDefault="001B1C04" w:rsidP="00901DF3">
            <w:pPr>
              <w:spacing w:line="480" w:lineRule="auto"/>
              <w:rPr>
                <w:color w:val="000000"/>
                <w:sz w:val="20"/>
                <w:szCs w:val="20"/>
              </w:rPr>
            </w:pPr>
            <w:r w:rsidRPr="001051A3">
              <w:rPr>
                <w:b/>
                <w:bCs/>
                <w:color w:val="000000"/>
                <w:sz w:val="20"/>
                <w:szCs w:val="20"/>
              </w:rPr>
              <w:t>Private</w:t>
            </w:r>
          </w:p>
        </w:tc>
      </w:tr>
      <w:tr w:rsidR="00B02787" w:rsidRPr="001051A3" w14:paraId="6B1B7621" w14:textId="77777777" w:rsidTr="00257C69">
        <w:trPr>
          <w:trHeight w:val="320"/>
        </w:trPr>
        <w:tc>
          <w:tcPr>
            <w:tcW w:w="4225" w:type="dxa"/>
            <w:gridSpan w:val="2"/>
            <w:tcBorders>
              <w:top w:val="single" w:sz="4" w:space="0" w:color="auto"/>
              <w:left w:val="single" w:sz="4" w:space="0" w:color="auto"/>
              <w:bottom w:val="nil"/>
              <w:right w:val="nil"/>
            </w:tcBorders>
            <w:shd w:val="clear" w:color="auto" w:fill="auto"/>
            <w:vAlign w:val="center"/>
          </w:tcPr>
          <w:p w14:paraId="1BCC127E" w14:textId="56C2D658" w:rsidR="00B02787" w:rsidRDefault="00B02787" w:rsidP="00901DF3">
            <w:pPr>
              <w:spacing w:line="480" w:lineRule="auto"/>
              <w:rPr>
                <w:b/>
                <w:bCs/>
                <w:color w:val="000000"/>
                <w:sz w:val="20"/>
                <w:szCs w:val="20"/>
              </w:rPr>
            </w:pPr>
            <w:r w:rsidRPr="00B02787">
              <w:rPr>
                <w:b/>
                <w:color w:val="000000"/>
                <w:sz w:val="20"/>
                <w:szCs w:val="20"/>
              </w:rPr>
              <w:t>1.</w:t>
            </w:r>
            <w:r>
              <w:rPr>
                <w:b/>
                <w:color w:val="000000"/>
                <w:sz w:val="20"/>
                <w:szCs w:val="20"/>
              </w:rPr>
              <w:t xml:space="preserve"> </w:t>
            </w:r>
            <w:r w:rsidRPr="00B02787">
              <w:rPr>
                <w:b/>
                <w:color w:val="000000"/>
                <w:sz w:val="20"/>
                <w:szCs w:val="20"/>
              </w:rPr>
              <w:t>Climate change</w:t>
            </w:r>
          </w:p>
        </w:tc>
        <w:tc>
          <w:tcPr>
            <w:tcW w:w="880" w:type="dxa"/>
            <w:tcBorders>
              <w:top w:val="single" w:sz="4" w:space="0" w:color="auto"/>
              <w:left w:val="nil"/>
              <w:bottom w:val="single" w:sz="4" w:space="0" w:color="auto"/>
              <w:right w:val="nil"/>
            </w:tcBorders>
            <w:shd w:val="clear" w:color="auto" w:fill="auto"/>
            <w:vAlign w:val="center"/>
          </w:tcPr>
          <w:p w14:paraId="7EEE25EA" w14:textId="77777777" w:rsidR="00B02787" w:rsidRPr="001051A3" w:rsidRDefault="00B02787" w:rsidP="00901DF3">
            <w:pPr>
              <w:spacing w:line="480" w:lineRule="auto"/>
              <w:jc w:val="center"/>
              <w:rPr>
                <w:color w:val="000000"/>
                <w:sz w:val="20"/>
                <w:szCs w:val="20"/>
              </w:rPr>
            </w:pPr>
          </w:p>
        </w:tc>
        <w:tc>
          <w:tcPr>
            <w:tcW w:w="985" w:type="dxa"/>
            <w:tcBorders>
              <w:top w:val="single" w:sz="4" w:space="0" w:color="auto"/>
              <w:left w:val="nil"/>
              <w:bottom w:val="single" w:sz="4" w:space="0" w:color="auto"/>
              <w:right w:val="nil"/>
            </w:tcBorders>
            <w:shd w:val="clear" w:color="auto" w:fill="auto"/>
            <w:vAlign w:val="center"/>
          </w:tcPr>
          <w:p w14:paraId="1131806A" w14:textId="77777777" w:rsidR="00B02787" w:rsidRDefault="00B02787" w:rsidP="00901DF3">
            <w:pPr>
              <w:spacing w:line="480" w:lineRule="auto"/>
              <w:jc w:val="center"/>
              <w:rPr>
                <w:b/>
                <w:bCs/>
                <w:color w:val="000000"/>
                <w:sz w:val="20"/>
                <w:szCs w:val="20"/>
              </w:rPr>
            </w:pPr>
          </w:p>
        </w:tc>
        <w:tc>
          <w:tcPr>
            <w:tcW w:w="1019" w:type="dxa"/>
            <w:tcBorders>
              <w:top w:val="single" w:sz="4" w:space="0" w:color="auto"/>
              <w:left w:val="nil"/>
              <w:bottom w:val="single" w:sz="4" w:space="0" w:color="auto"/>
              <w:right w:val="nil"/>
            </w:tcBorders>
            <w:shd w:val="clear" w:color="auto" w:fill="auto"/>
            <w:vAlign w:val="center"/>
          </w:tcPr>
          <w:p w14:paraId="33182678" w14:textId="77777777" w:rsidR="00B02787" w:rsidRPr="001051A3" w:rsidRDefault="00B02787" w:rsidP="00901DF3">
            <w:pPr>
              <w:spacing w:line="480" w:lineRule="auto"/>
              <w:jc w:val="center"/>
              <w:rPr>
                <w:color w:val="000000"/>
                <w:sz w:val="20"/>
                <w:szCs w:val="20"/>
              </w:rPr>
            </w:pPr>
          </w:p>
        </w:tc>
        <w:tc>
          <w:tcPr>
            <w:tcW w:w="891" w:type="dxa"/>
            <w:tcBorders>
              <w:top w:val="single" w:sz="4" w:space="0" w:color="auto"/>
              <w:bottom w:val="single" w:sz="4" w:space="0" w:color="auto"/>
            </w:tcBorders>
            <w:vAlign w:val="center"/>
          </w:tcPr>
          <w:p w14:paraId="408899C4" w14:textId="77777777" w:rsidR="00B02787" w:rsidRDefault="00B02787" w:rsidP="00901DF3">
            <w:pPr>
              <w:spacing w:line="480" w:lineRule="auto"/>
              <w:rPr>
                <w:b/>
                <w:bCs/>
                <w:color w:val="000000"/>
                <w:sz w:val="20"/>
                <w:szCs w:val="20"/>
              </w:rPr>
            </w:pPr>
          </w:p>
        </w:tc>
        <w:tc>
          <w:tcPr>
            <w:tcW w:w="1148" w:type="dxa"/>
            <w:tcBorders>
              <w:top w:val="single" w:sz="4" w:space="0" w:color="auto"/>
              <w:bottom w:val="single" w:sz="4" w:space="0" w:color="auto"/>
              <w:right w:val="single" w:sz="4" w:space="0" w:color="auto"/>
            </w:tcBorders>
            <w:vAlign w:val="center"/>
          </w:tcPr>
          <w:p w14:paraId="537FDBAE" w14:textId="77777777" w:rsidR="00B02787" w:rsidRPr="001051A3" w:rsidRDefault="00B02787" w:rsidP="00901DF3">
            <w:pPr>
              <w:spacing w:line="480" w:lineRule="auto"/>
              <w:jc w:val="center"/>
              <w:rPr>
                <w:color w:val="000000"/>
                <w:sz w:val="20"/>
                <w:szCs w:val="20"/>
              </w:rPr>
            </w:pPr>
          </w:p>
        </w:tc>
      </w:tr>
      <w:tr w:rsidR="001B1C04" w:rsidRPr="001051A3" w14:paraId="378F8C9B" w14:textId="715D8878" w:rsidTr="00257C69">
        <w:trPr>
          <w:trHeight w:val="300"/>
        </w:trPr>
        <w:tc>
          <w:tcPr>
            <w:tcW w:w="3240" w:type="dxa"/>
            <w:tcBorders>
              <w:top w:val="single" w:sz="4" w:space="0" w:color="auto"/>
              <w:left w:val="single" w:sz="4" w:space="0" w:color="auto"/>
              <w:bottom w:val="nil"/>
              <w:right w:val="nil"/>
            </w:tcBorders>
            <w:shd w:val="clear" w:color="auto" w:fill="auto"/>
            <w:vAlign w:val="center"/>
            <w:hideMark/>
          </w:tcPr>
          <w:p w14:paraId="37D5372B" w14:textId="5A464818" w:rsidR="001B1C04" w:rsidRPr="00B02787" w:rsidRDefault="00B02787" w:rsidP="00901DF3">
            <w:pPr>
              <w:spacing w:line="480" w:lineRule="auto"/>
              <w:rPr>
                <w:color w:val="000000"/>
                <w:sz w:val="20"/>
                <w:szCs w:val="20"/>
              </w:rPr>
            </w:pPr>
            <w:r>
              <w:rPr>
                <w:color w:val="000000"/>
                <w:sz w:val="20"/>
                <w:szCs w:val="20"/>
              </w:rPr>
              <w:t xml:space="preserve">  </w:t>
            </w:r>
            <w:r w:rsidR="001B1C04" w:rsidRPr="00B02787">
              <w:rPr>
                <w:color w:val="000000"/>
                <w:sz w:val="20"/>
                <w:szCs w:val="20"/>
              </w:rPr>
              <w:t>Climate change</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09B23861" w14:textId="7C924AE2" w:rsidR="001B1C04" w:rsidRPr="001051A3" w:rsidRDefault="00D8331B" w:rsidP="00901DF3">
            <w:pPr>
              <w:spacing w:line="480" w:lineRule="auto"/>
              <w:jc w:val="center"/>
              <w:rPr>
                <w:b/>
                <w:bCs/>
                <w:color w:val="000000"/>
                <w:sz w:val="20"/>
                <w:szCs w:val="20"/>
              </w:rPr>
            </w:pPr>
            <w:r>
              <w:rPr>
                <w:b/>
                <w:bCs/>
                <w:color w:val="000000"/>
                <w:sz w:val="20"/>
                <w:szCs w:val="20"/>
              </w:rPr>
              <w:t>0.011</w:t>
            </w:r>
          </w:p>
        </w:tc>
        <w:tc>
          <w:tcPr>
            <w:tcW w:w="880" w:type="dxa"/>
            <w:tcBorders>
              <w:top w:val="single" w:sz="4" w:space="0" w:color="auto"/>
              <w:left w:val="nil"/>
              <w:bottom w:val="single" w:sz="4" w:space="0" w:color="auto"/>
              <w:right w:val="nil"/>
            </w:tcBorders>
            <w:shd w:val="clear" w:color="auto" w:fill="auto"/>
            <w:vAlign w:val="center"/>
            <w:hideMark/>
          </w:tcPr>
          <w:p w14:paraId="152986DB" w14:textId="77777777" w:rsidR="001B1C04" w:rsidRPr="00D26615" w:rsidRDefault="001B1C04" w:rsidP="00901DF3">
            <w:pPr>
              <w:spacing w:line="480" w:lineRule="auto"/>
              <w:jc w:val="center"/>
              <w:rPr>
                <w:color w:val="000000"/>
                <w:sz w:val="20"/>
                <w:szCs w:val="20"/>
              </w:rPr>
            </w:pPr>
            <w:r w:rsidRPr="00D26615">
              <w:rPr>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7CEBE5C8" w14:textId="1E4151E7" w:rsidR="001B1C04" w:rsidRPr="00D26615" w:rsidRDefault="00D26615" w:rsidP="00901DF3">
            <w:pPr>
              <w:spacing w:line="480" w:lineRule="auto"/>
              <w:jc w:val="center"/>
              <w:rPr>
                <w:bCs/>
                <w:color w:val="000000"/>
                <w:sz w:val="20"/>
                <w:szCs w:val="20"/>
              </w:rPr>
            </w:pPr>
            <w:r w:rsidRPr="00D26615">
              <w:rPr>
                <w:bCs/>
                <w:color w:val="000000"/>
                <w:sz w:val="20"/>
                <w:szCs w:val="20"/>
              </w:rPr>
              <w:t>0</w:t>
            </w:r>
          </w:p>
        </w:tc>
        <w:tc>
          <w:tcPr>
            <w:tcW w:w="1019" w:type="dxa"/>
            <w:tcBorders>
              <w:top w:val="single" w:sz="4" w:space="0" w:color="auto"/>
              <w:left w:val="nil"/>
              <w:bottom w:val="single" w:sz="4" w:space="0" w:color="auto"/>
              <w:right w:val="nil"/>
            </w:tcBorders>
            <w:shd w:val="clear" w:color="auto" w:fill="auto"/>
            <w:vAlign w:val="center"/>
            <w:hideMark/>
          </w:tcPr>
          <w:p w14:paraId="00DB25AB" w14:textId="77777777" w:rsidR="001B1C04" w:rsidRPr="00D26615" w:rsidRDefault="001B1C04" w:rsidP="00901DF3">
            <w:pPr>
              <w:spacing w:line="480" w:lineRule="auto"/>
              <w:jc w:val="center"/>
              <w:rPr>
                <w:color w:val="000000"/>
                <w:sz w:val="20"/>
                <w:szCs w:val="20"/>
              </w:rPr>
            </w:pPr>
            <w:r w:rsidRPr="00D26615">
              <w:rPr>
                <w:color w:val="000000"/>
                <w:sz w:val="20"/>
                <w:szCs w:val="20"/>
              </w:rPr>
              <w:t>0</w:t>
            </w:r>
          </w:p>
        </w:tc>
        <w:tc>
          <w:tcPr>
            <w:tcW w:w="891" w:type="dxa"/>
            <w:tcBorders>
              <w:top w:val="single" w:sz="4" w:space="0" w:color="auto"/>
              <w:bottom w:val="single" w:sz="4" w:space="0" w:color="auto"/>
            </w:tcBorders>
            <w:vAlign w:val="center"/>
          </w:tcPr>
          <w:p w14:paraId="2C495290" w14:textId="0E5E9EEA" w:rsidR="001B1C04" w:rsidRPr="00D26615" w:rsidRDefault="00D26615" w:rsidP="00901DF3">
            <w:pPr>
              <w:spacing w:line="480" w:lineRule="auto"/>
              <w:jc w:val="center"/>
            </w:pPr>
            <w:r w:rsidRPr="00D26615">
              <w:rPr>
                <w:bCs/>
                <w:color w:val="000000"/>
                <w:sz w:val="20"/>
                <w:szCs w:val="20"/>
              </w:rPr>
              <w:t>0</w:t>
            </w:r>
          </w:p>
        </w:tc>
        <w:tc>
          <w:tcPr>
            <w:tcW w:w="1148" w:type="dxa"/>
            <w:tcBorders>
              <w:top w:val="single" w:sz="4" w:space="0" w:color="auto"/>
              <w:bottom w:val="single" w:sz="4" w:space="0" w:color="auto"/>
              <w:right w:val="single" w:sz="4" w:space="0" w:color="auto"/>
            </w:tcBorders>
            <w:vAlign w:val="center"/>
          </w:tcPr>
          <w:p w14:paraId="13F1389B" w14:textId="526DE9D7" w:rsidR="001B1C04" w:rsidRPr="00D26615" w:rsidRDefault="001B1C04" w:rsidP="00901DF3">
            <w:pPr>
              <w:spacing w:line="480" w:lineRule="auto"/>
              <w:jc w:val="center"/>
            </w:pPr>
            <w:r w:rsidRPr="00D26615">
              <w:rPr>
                <w:color w:val="000000"/>
                <w:sz w:val="20"/>
                <w:szCs w:val="20"/>
              </w:rPr>
              <w:t>0</w:t>
            </w:r>
          </w:p>
        </w:tc>
      </w:tr>
      <w:tr w:rsidR="001B1C04" w:rsidRPr="001051A3" w14:paraId="15F1A45D" w14:textId="5DB0AD94" w:rsidTr="00257C69">
        <w:trPr>
          <w:trHeight w:val="300"/>
        </w:trPr>
        <w:tc>
          <w:tcPr>
            <w:tcW w:w="3240" w:type="dxa"/>
            <w:tcBorders>
              <w:top w:val="nil"/>
              <w:left w:val="single" w:sz="4" w:space="0" w:color="auto"/>
              <w:bottom w:val="single" w:sz="4" w:space="0" w:color="auto"/>
              <w:right w:val="nil"/>
            </w:tcBorders>
            <w:shd w:val="clear" w:color="auto" w:fill="auto"/>
            <w:vAlign w:val="center"/>
            <w:hideMark/>
          </w:tcPr>
          <w:p w14:paraId="1911D6F9" w14:textId="5548B2FC" w:rsidR="001B1C04" w:rsidRPr="001051A3" w:rsidRDefault="00B02787" w:rsidP="00901DF3">
            <w:pPr>
              <w:spacing w:line="480" w:lineRule="auto"/>
              <w:rPr>
                <w:color w:val="000000"/>
                <w:sz w:val="20"/>
                <w:szCs w:val="20"/>
              </w:rPr>
            </w:pPr>
            <w:r>
              <w:rPr>
                <w:color w:val="000000"/>
                <w:sz w:val="20"/>
                <w:szCs w:val="20"/>
              </w:rPr>
              <w:t xml:space="preserve">  </w:t>
            </w:r>
            <w:r w:rsidR="001B1C04" w:rsidRPr="001051A3">
              <w:rPr>
                <w:color w:val="000000"/>
                <w:sz w:val="20"/>
                <w:szCs w:val="20"/>
              </w:rPr>
              <w:t>Subsidies</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5C70DEEE" w14:textId="134FB0A6" w:rsidR="001B1C04" w:rsidRPr="001051A3" w:rsidRDefault="00D8331B" w:rsidP="00901DF3">
            <w:pPr>
              <w:spacing w:line="480" w:lineRule="auto"/>
              <w:jc w:val="center"/>
              <w:rPr>
                <w:b/>
                <w:bCs/>
                <w:color w:val="000000"/>
                <w:sz w:val="20"/>
                <w:szCs w:val="20"/>
              </w:rPr>
            </w:pPr>
            <w:r>
              <w:rPr>
                <w:b/>
                <w:bCs/>
                <w:color w:val="000000"/>
                <w:sz w:val="20"/>
                <w:szCs w:val="20"/>
              </w:rPr>
              <w:t>0.003</w:t>
            </w:r>
          </w:p>
        </w:tc>
        <w:tc>
          <w:tcPr>
            <w:tcW w:w="880" w:type="dxa"/>
            <w:tcBorders>
              <w:top w:val="single" w:sz="4" w:space="0" w:color="auto"/>
              <w:left w:val="nil"/>
              <w:bottom w:val="single" w:sz="4" w:space="0" w:color="auto"/>
              <w:right w:val="nil"/>
            </w:tcBorders>
            <w:shd w:val="clear" w:color="auto" w:fill="auto"/>
            <w:vAlign w:val="center"/>
            <w:hideMark/>
          </w:tcPr>
          <w:p w14:paraId="71252D72" w14:textId="77777777" w:rsidR="001B1C04" w:rsidRPr="00D26615" w:rsidRDefault="001B1C04" w:rsidP="00901DF3">
            <w:pPr>
              <w:spacing w:line="480" w:lineRule="auto"/>
              <w:jc w:val="center"/>
              <w:rPr>
                <w:color w:val="000000"/>
                <w:sz w:val="20"/>
                <w:szCs w:val="20"/>
              </w:rPr>
            </w:pPr>
            <w:r w:rsidRPr="00D26615">
              <w:rPr>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443DFBBD" w14:textId="6F056535" w:rsidR="001B1C04" w:rsidRPr="00D26615" w:rsidRDefault="00D26615" w:rsidP="00901DF3">
            <w:pPr>
              <w:spacing w:line="480" w:lineRule="auto"/>
              <w:jc w:val="center"/>
              <w:rPr>
                <w:bCs/>
                <w:color w:val="000000"/>
                <w:sz w:val="20"/>
                <w:szCs w:val="20"/>
              </w:rPr>
            </w:pPr>
            <w:r w:rsidRPr="00D26615">
              <w:rPr>
                <w:bCs/>
                <w:color w:val="000000"/>
                <w:sz w:val="20"/>
                <w:szCs w:val="20"/>
              </w:rPr>
              <w:t>0</w:t>
            </w:r>
          </w:p>
        </w:tc>
        <w:tc>
          <w:tcPr>
            <w:tcW w:w="1019" w:type="dxa"/>
            <w:tcBorders>
              <w:top w:val="single" w:sz="4" w:space="0" w:color="auto"/>
              <w:left w:val="nil"/>
              <w:bottom w:val="single" w:sz="4" w:space="0" w:color="auto"/>
              <w:right w:val="nil"/>
            </w:tcBorders>
            <w:shd w:val="clear" w:color="auto" w:fill="auto"/>
            <w:vAlign w:val="center"/>
            <w:hideMark/>
          </w:tcPr>
          <w:p w14:paraId="18EF5F9F" w14:textId="77777777" w:rsidR="001B1C04" w:rsidRPr="00D26615" w:rsidRDefault="001B1C04" w:rsidP="00901DF3">
            <w:pPr>
              <w:spacing w:line="480" w:lineRule="auto"/>
              <w:jc w:val="center"/>
              <w:rPr>
                <w:color w:val="000000"/>
                <w:sz w:val="20"/>
                <w:szCs w:val="20"/>
              </w:rPr>
            </w:pPr>
            <w:r w:rsidRPr="00D26615">
              <w:rPr>
                <w:color w:val="000000"/>
                <w:sz w:val="20"/>
                <w:szCs w:val="20"/>
              </w:rPr>
              <w:t>0</w:t>
            </w:r>
          </w:p>
        </w:tc>
        <w:tc>
          <w:tcPr>
            <w:tcW w:w="891" w:type="dxa"/>
            <w:tcBorders>
              <w:top w:val="single" w:sz="4" w:space="0" w:color="auto"/>
              <w:bottom w:val="single" w:sz="4" w:space="0" w:color="auto"/>
            </w:tcBorders>
            <w:vAlign w:val="center"/>
          </w:tcPr>
          <w:p w14:paraId="5DFFE3C0" w14:textId="16F4CF0F" w:rsidR="001B1C04" w:rsidRPr="00D26615" w:rsidRDefault="00D26615" w:rsidP="00901DF3">
            <w:pPr>
              <w:spacing w:line="480" w:lineRule="auto"/>
              <w:jc w:val="center"/>
            </w:pPr>
            <w:r w:rsidRPr="00D26615">
              <w:rPr>
                <w:bCs/>
                <w:color w:val="000000"/>
                <w:sz w:val="20"/>
                <w:szCs w:val="20"/>
              </w:rPr>
              <w:t>0</w:t>
            </w:r>
          </w:p>
        </w:tc>
        <w:tc>
          <w:tcPr>
            <w:tcW w:w="1148" w:type="dxa"/>
            <w:tcBorders>
              <w:top w:val="single" w:sz="4" w:space="0" w:color="auto"/>
              <w:bottom w:val="single" w:sz="4" w:space="0" w:color="auto"/>
              <w:right w:val="single" w:sz="4" w:space="0" w:color="auto"/>
            </w:tcBorders>
            <w:vAlign w:val="center"/>
          </w:tcPr>
          <w:p w14:paraId="3CD1268D" w14:textId="01EBDF26" w:rsidR="001B1C04" w:rsidRPr="00D26615" w:rsidRDefault="001B1C04" w:rsidP="00901DF3">
            <w:pPr>
              <w:spacing w:line="480" w:lineRule="auto"/>
              <w:jc w:val="center"/>
            </w:pPr>
            <w:r w:rsidRPr="00D26615">
              <w:rPr>
                <w:color w:val="000000"/>
                <w:sz w:val="20"/>
                <w:szCs w:val="20"/>
              </w:rPr>
              <w:t>0</w:t>
            </w:r>
          </w:p>
        </w:tc>
      </w:tr>
      <w:tr w:rsidR="00B02787" w:rsidRPr="001051A3" w14:paraId="28B368F2" w14:textId="77777777" w:rsidTr="00257C69">
        <w:trPr>
          <w:trHeight w:val="300"/>
        </w:trPr>
        <w:tc>
          <w:tcPr>
            <w:tcW w:w="4225" w:type="dxa"/>
            <w:gridSpan w:val="2"/>
            <w:tcBorders>
              <w:top w:val="nil"/>
              <w:left w:val="single" w:sz="4" w:space="0" w:color="auto"/>
              <w:bottom w:val="single" w:sz="4" w:space="0" w:color="auto"/>
              <w:right w:val="nil"/>
            </w:tcBorders>
            <w:shd w:val="clear" w:color="auto" w:fill="auto"/>
            <w:vAlign w:val="center"/>
          </w:tcPr>
          <w:p w14:paraId="6FBDD13B" w14:textId="28F8CED0" w:rsidR="00B02787" w:rsidRPr="001051A3" w:rsidRDefault="00B02787" w:rsidP="00901DF3">
            <w:pPr>
              <w:spacing w:line="480" w:lineRule="auto"/>
              <w:rPr>
                <w:b/>
                <w:bCs/>
                <w:color w:val="000000"/>
                <w:sz w:val="20"/>
                <w:szCs w:val="20"/>
              </w:rPr>
            </w:pPr>
            <w:r>
              <w:rPr>
                <w:b/>
                <w:color w:val="000000"/>
                <w:sz w:val="20"/>
                <w:szCs w:val="20"/>
              </w:rPr>
              <w:t xml:space="preserve">2. </w:t>
            </w:r>
            <w:r w:rsidRPr="00B02787">
              <w:rPr>
                <w:b/>
                <w:color w:val="000000"/>
                <w:sz w:val="20"/>
                <w:szCs w:val="20"/>
              </w:rPr>
              <w:t>Air pollution</w:t>
            </w:r>
          </w:p>
        </w:tc>
        <w:tc>
          <w:tcPr>
            <w:tcW w:w="880" w:type="dxa"/>
            <w:tcBorders>
              <w:top w:val="single" w:sz="4" w:space="0" w:color="auto"/>
              <w:left w:val="nil"/>
              <w:bottom w:val="single" w:sz="4" w:space="0" w:color="auto"/>
              <w:right w:val="nil"/>
            </w:tcBorders>
            <w:shd w:val="clear" w:color="auto" w:fill="auto"/>
            <w:vAlign w:val="center"/>
          </w:tcPr>
          <w:p w14:paraId="6010A697" w14:textId="77777777" w:rsidR="00B02787" w:rsidRPr="001B6A07" w:rsidRDefault="00B02787" w:rsidP="00901DF3">
            <w:pPr>
              <w:spacing w:line="480" w:lineRule="auto"/>
              <w:jc w:val="center"/>
              <w:rPr>
                <w:color w:val="000000"/>
                <w:sz w:val="20"/>
                <w:szCs w:val="20"/>
              </w:rPr>
            </w:pPr>
          </w:p>
        </w:tc>
        <w:tc>
          <w:tcPr>
            <w:tcW w:w="985" w:type="dxa"/>
            <w:tcBorders>
              <w:top w:val="single" w:sz="4" w:space="0" w:color="auto"/>
              <w:left w:val="nil"/>
              <w:bottom w:val="single" w:sz="4" w:space="0" w:color="auto"/>
              <w:right w:val="nil"/>
            </w:tcBorders>
            <w:shd w:val="clear" w:color="auto" w:fill="auto"/>
            <w:vAlign w:val="center"/>
          </w:tcPr>
          <w:p w14:paraId="79D3C6E5" w14:textId="77777777" w:rsidR="00B02787" w:rsidRPr="001B6A07" w:rsidRDefault="00B02787" w:rsidP="00901DF3">
            <w:pPr>
              <w:spacing w:line="480" w:lineRule="auto"/>
              <w:jc w:val="center"/>
              <w:rPr>
                <w:bCs/>
                <w:color w:val="000000"/>
                <w:sz w:val="20"/>
                <w:szCs w:val="20"/>
              </w:rPr>
            </w:pPr>
          </w:p>
        </w:tc>
        <w:tc>
          <w:tcPr>
            <w:tcW w:w="1019" w:type="dxa"/>
            <w:tcBorders>
              <w:top w:val="single" w:sz="4" w:space="0" w:color="auto"/>
              <w:left w:val="nil"/>
              <w:bottom w:val="single" w:sz="4" w:space="0" w:color="auto"/>
              <w:right w:val="nil"/>
            </w:tcBorders>
            <w:shd w:val="clear" w:color="auto" w:fill="auto"/>
            <w:vAlign w:val="center"/>
          </w:tcPr>
          <w:p w14:paraId="4C822970" w14:textId="77777777" w:rsidR="00B02787" w:rsidRPr="001B6A07" w:rsidRDefault="00B02787" w:rsidP="00901DF3">
            <w:pPr>
              <w:spacing w:line="480" w:lineRule="auto"/>
              <w:jc w:val="center"/>
              <w:rPr>
                <w:color w:val="000000"/>
                <w:sz w:val="20"/>
                <w:szCs w:val="20"/>
              </w:rPr>
            </w:pPr>
          </w:p>
        </w:tc>
        <w:tc>
          <w:tcPr>
            <w:tcW w:w="891" w:type="dxa"/>
            <w:tcBorders>
              <w:top w:val="single" w:sz="4" w:space="0" w:color="auto"/>
              <w:bottom w:val="single" w:sz="4" w:space="0" w:color="auto"/>
            </w:tcBorders>
            <w:vAlign w:val="center"/>
          </w:tcPr>
          <w:p w14:paraId="387C9D68" w14:textId="77777777" w:rsidR="00B02787" w:rsidRPr="001B6A07" w:rsidRDefault="00B02787" w:rsidP="00901DF3">
            <w:pPr>
              <w:spacing w:line="480" w:lineRule="auto"/>
              <w:jc w:val="center"/>
              <w:rPr>
                <w:color w:val="000000"/>
                <w:sz w:val="20"/>
                <w:szCs w:val="20"/>
              </w:rPr>
            </w:pPr>
          </w:p>
        </w:tc>
        <w:tc>
          <w:tcPr>
            <w:tcW w:w="1148" w:type="dxa"/>
            <w:tcBorders>
              <w:top w:val="single" w:sz="4" w:space="0" w:color="auto"/>
              <w:bottom w:val="single" w:sz="4" w:space="0" w:color="auto"/>
              <w:right w:val="single" w:sz="4" w:space="0" w:color="auto"/>
            </w:tcBorders>
            <w:vAlign w:val="center"/>
          </w:tcPr>
          <w:p w14:paraId="1FAF71F4" w14:textId="77777777" w:rsidR="00B02787" w:rsidRPr="001B6A07" w:rsidRDefault="00B02787" w:rsidP="00901DF3">
            <w:pPr>
              <w:spacing w:line="480" w:lineRule="auto"/>
              <w:jc w:val="center"/>
              <w:rPr>
                <w:color w:val="000000"/>
                <w:sz w:val="20"/>
                <w:szCs w:val="20"/>
              </w:rPr>
            </w:pPr>
          </w:p>
        </w:tc>
      </w:tr>
      <w:tr w:rsidR="001B1C04" w:rsidRPr="001051A3" w14:paraId="221D57A3" w14:textId="50DC5FBD" w:rsidTr="00257C69">
        <w:trPr>
          <w:trHeight w:val="300"/>
        </w:trPr>
        <w:tc>
          <w:tcPr>
            <w:tcW w:w="3240" w:type="dxa"/>
            <w:tcBorders>
              <w:top w:val="nil"/>
              <w:left w:val="single" w:sz="4" w:space="0" w:color="auto"/>
              <w:bottom w:val="single" w:sz="4" w:space="0" w:color="auto"/>
              <w:right w:val="nil"/>
            </w:tcBorders>
            <w:shd w:val="clear" w:color="auto" w:fill="auto"/>
            <w:vAlign w:val="center"/>
            <w:hideMark/>
          </w:tcPr>
          <w:p w14:paraId="723B4040" w14:textId="46BFE7FA" w:rsidR="001B1C04" w:rsidRPr="00B02787" w:rsidRDefault="00B02787" w:rsidP="00901DF3">
            <w:pPr>
              <w:spacing w:line="480" w:lineRule="auto"/>
              <w:rPr>
                <w:color w:val="000000"/>
                <w:sz w:val="20"/>
                <w:szCs w:val="20"/>
              </w:rPr>
            </w:pPr>
            <w:r>
              <w:rPr>
                <w:color w:val="000000"/>
                <w:sz w:val="20"/>
                <w:szCs w:val="20"/>
              </w:rPr>
              <w:t xml:space="preserve">  </w:t>
            </w:r>
            <w:r w:rsidR="001B1C04" w:rsidRPr="00B02787">
              <w:rPr>
                <w:color w:val="000000"/>
                <w:sz w:val="20"/>
                <w:szCs w:val="20"/>
              </w:rPr>
              <w:t>Air pollution</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661CC77E" w14:textId="4DFF0EE5" w:rsidR="001B1C04" w:rsidRPr="001051A3" w:rsidRDefault="00D8331B" w:rsidP="00901DF3">
            <w:pPr>
              <w:spacing w:line="480" w:lineRule="auto"/>
              <w:jc w:val="center"/>
              <w:rPr>
                <w:color w:val="000000"/>
                <w:sz w:val="20"/>
                <w:szCs w:val="20"/>
              </w:rPr>
            </w:pPr>
            <w:r w:rsidRPr="001051A3">
              <w:rPr>
                <w:b/>
                <w:bCs/>
                <w:color w:val="000000"/>
                <w:sz w:val="20"/>
                <w:szCs w:val="20"/>
              </w:rPr>
              <w:t>0.00</w:t>
            </w:r>
            <w:r>
              <w:rPr>
                <w:b/>
                <w:bCs/>
                <w:color w:val="000000"/>
                <w:sz w:val="20"/>
                <w:szCs w:val="20"/>
              </w:rPr>
              <w:t>7</w:t>
            </w:r>
          </w:p>
        </w:tc>
        <w:tc>
          <w:tcPr>
            <w:tcW w:w="880" w:type="dxa"/>
            <w:tcBorders>
              <w:top w:val="single" w:sz="4" w:space="0" w:color="auto"/>
              <w:left w:val="nil"/>
              <w:bottom w:val="single" w:sz="4" w:space="0" w:color="auto"/>
              <w:right w:val="nil"/>
            </w:tcBorders>
            <w:shd w:val="clear" w:color="auto" w:fill="auto"/>
            <w:vAlign w:val="center"/>
            <w:hideMark/>
          </w:tcPr>
          <w:p w14:paraId="791E0A81" w14:textId="77777777" w:rsidR="001B1C04" w:rsidRPr="001B6A07" w:rsidRDefault="001B1C04" w:rsidP="00901DF3">
            <w:pPr>
              <w:spacing w:line="480" w:lineRule="auto"/>
              <w:jc w:val="center"/>
              <w:rPr>
                <w:color w:val="000000"/>
                <w:sz w:val="20"/>
                <w:szCs w:val="20"/>
              </w:rPr>
            </w:pPr>
            <w:r w:rsidRPr="001B6A07">
              <w:rPr>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7FBA299B" w14:textId="4CEB3A83" w:rsidR="001B1C04" w:rsidRPr="001B6A07" w:rsidRDefault="00D8331B" w:rsidP="00901DF3">
            <w:pPr>
              <w:spacing w:line="480" w:lineRule="auto"/>
              <w:jc w:val="center"/>
              <w:rPr>
                <w:bCs/>
                <w:color w:val="000000"/>
                <w:sz w:val="20"/>
                <w:szCs w:val="20"/>
              </w:rPr>
            </w:pPr>
            <w:r w:rsidRPr="001B6A07">
              <w:rPr>
                <w:bCs/>
                <w:color w:val="000000"/>
                <w:sz w:val="20"/>
                <w:szCs w:val="20"/>
              </w:rPr>
              <w:t>0</w:t>
            </w:r>
          </w:p>
        </w:tc>
        <w:tc>
          <w:tcPr>
            <w:tcW w:w="1019" w:type="dxa"/>
            <w:tcBorders>
              <w:top w:val="single" w:sz="4" w:space="0" w:color="auto"/>
              <w:left w:val="nil"/>
              <w:bottom w:val="single" w:sz="4" w:space="0" w:color="auto"/>
              <w:right w:val="nil"/>
            </w:tcBorders>
            <w:shd w:val="clear" w:color="auto" w:fill="auto"/>
            <w:vAlign w:val="center"/>
            <w:hideMark/>
          </w:tcPr>
          <w:p w14:paraId="23DB0EF4" w14:textId="77777777" w:rsidR="001B1C04" w:rsidRPr="001B6A07" w:rsidRDefault="001B1C04" w:rsidP="00901DF3">
            <w:pPr>
              <w:spacing w:line="480" w:lineRule="auto"/>
              <w:jc w:val="center"/>
              <w:rPr>
                <w:color w:val="000000"/>
                <w:sz w:val="20"/>
                <w:szCs w:val="20"/>
              </w:rPr>
            </w:pPr>
            <w:r w:rsidRPr="001B6A07">
              <w:rPr>
                <w:color w:val="000000"/>
                <w:sz w:val="20"/>
                <w:szCs w:val="20"/>
              </w:rPr>
              <w:t>0</w:t>
            </w:r>
          </w:p>
        </w:tc>
        <w:tc>
          <w:tcPr>
            <w:tcW w:w="891" w:type="dxa"/>
            <w:tcBorders>
              <w:top w:val="single" w:sz="4" w:space="0" w:color="auto"/>
              <w:bottom w:val="single" w:sz="4" w:space="0" w:color="auto"/>
            </w:tcBorders>
            <w:vAlign w:val="center"/>
          </w:tcPr>
          <w:p w14:paraId="3151B293" w14:textId="5425207B" w:rsidR="001B1C04" w:rsidRPr="001B6A07" w:rsidRDefault="00D8331B" w:rsidP="00901DF3">
            <w:pPr>
              <w:spacing w:line="480" w:lineRule="auto"/>
              <w:jc w:val="center"/>
            </w:pPr>
            <w:r w:rsidRPr="001B6A07">
              <w:rPr>
                <w:color w:val="000000"/>
                <w:sz w:val="20"/>
                <w:szCs w:val="20"/>
              </w:rPr>
              <w:t>0</w:t>
            </w:r>
          </w:p>
        </w:tc>
        <w:tc>
          <w:tcPr>
            <w:tcW w:w="1148" w:type="dxa"/>
            <w:tcBorders>
              <w:top w:val="single" w:sz="4" w:space="0" w:color="auto"/>
              <w:bottom w:val="single" w:sz="4" w:space="0" w:color="auto"/>
              <w:right w:val="single" w:sz="4" w:space="0" w:color="auto"/>
            </w:tcBorders>
            <w:vAlign w:val="center"/>
          </w:tcPr>
          <w:p w14:paraId="263C84E0" w14:textId="0A0B7DDA" w:rsidR="001B1C04" w:rsidRPr="001B6A07" w:rsidRDefault="001B1C04" w:rsidP="00901DF3">
            <w:pPr>
              <w:spacing w:line="480" w:lineRule="auto"/>
              <w:jc w:val="center"/>
            </w:pPr>
            <w:r w:rsidRPr="001B6A07">
              <w:rPr>
                <w:color w:val="000000"/>
                <w:sz w:val="20"/>
                <w:szCs w:val="20"/>
              </w:rPr>
              <w:t>0</w:t>
            </w:r>
          </w:p>
        </w:tc>
      </w:tr>
      <w:tr w:rsidR="00B02787" w:rsidRPr="001051A3" w14:paraId="18E6AA62" w14:textId="77777777" w:rsidTr="00257C69">
        <w:trPr>
          <w:trHeight w:val="300"/>
        </w:trPr>
        <w:tc>
          <w:tcPr>
            <w:tcW w:w="9152" w:type="dxa"/>
            <w:gridSpan w:val="7"/>
            <w:tcBorders>
              <w:top w:val="nil"/>
              <w:left w:val="single" w:sz="4" w:space="0" w:color="auto"/>
              <w:bottom w:val="single" w:sz="4" w:space="0" w:color="auto"/>
              <w:right w:val="single" w:sz="4" w:space="0" w:color="auto"/>
            </w:tcBorders>
            <w:shd w:val="clear" w:color="auto" w:fill="auto"/>
            <w:vAlign w:val="center"/>
          </w:tcPr>
          <w:p w14:paraId="154BD2E7" w14:textId="188242CD" w:rsidR="00B02787" w:rsidRPr="00B02787" w:rsidRDefault="00B02787" w:rsidP="00901DF3">
            <w:pPr>
              <w:spacing w:line="480" w:lineRule="auto"/>
              <w:rPr>
                <w:b/>
                <w:color w:val="000000"/>
                <w:sz w:val="20"/>
                <w:szCs w:val="20"/>
              </w:rPr>
            </w:pPr>
            <w:r w:rsidRPr="00B02787">
              <w:rPr>
                <w:b/>
                <w:color w:val="000000"/>
                <w:sz w:val="20"/>
                <w:szCs w:val="20"/>
              </w:rPr>
              <w:t>3. Noise pollution</w:t>
            </w:r>
          </w:p>
        </w:tc>
      </w:tr>
      <w:tr w:rsidR="00F539EE" w:rsidRPr="001051A3" w14:paraId="5B985329" w14:textId="75E7C293" w:rsidTr="00257C69">
        <w:trPr>
          <w:trHeight w:val="300"/>
        </w:trPr>
        <w:tc>
          <w:tcPr>
            <w:tcW w:w="3240" w:type="dxa"/>
            <w:tcBorders>
              <w:top w:val="nil"/>
              <w:left w:val="single" w:sz="4" w:space="0" w:color="auto"/>
              <w:bottom w:val="single" w:sz="4" w:space="0" w:color="auto"/>
              <w:right w:val="nil"/>
            </w:tcBorders>
            <w:shd w:val="clear" w:color="auto" w:fill="auto"/>
            <w:vAlign w:val="center"/>
            <w:hideMark/>
          </w:tcPr>
          <w:p w14:paraId="5AB7C821" w14:textId="77777777" w:rsidR="00F539EE" w:rsidRPr="001051A3" w:rsidRDefault="00F539EE" w:rsidP="00901DF3">
            <w:pPr>
              <w:spacing w:line="480" w:lineRule="auto"/>
              <w:rPr>
                <w:color w:val="000000"/>
                <w:sz w:val="20"/>
                <w:szCs w:val="20"/>
              </w:rPr>
            </w:pPr>
            <w:r w:rsidRPr="001051A3">
              <w:rPr>
                <w:color w:val="000000"/>
                <w:sz w:val="20"/>
                <w:szCs w:val="20"/>
              </w:rPr>
              <w:t>Noise pollution</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57857181" w14:textId="622BEE9A" w:rsidR="00F539EE" w:rsidRPr="001051A3" w:rsidRDefault="006478E9" w:rsidP="00901DF3">
            <w:pPr>
              <w:spacing w:line="480" w:lineRule="auto"/>
              <w:jc w:val="center"/>
              <w:rPr>
                <w:color w:val="000000"/>
                <w:sz w:val="20"/>
                <w:szCs w:val="20"/>
              </w:rPr>
            </w:pPr>
            <w:r>
              <w:rPr>
                <w:b/>
                <w:bCs/>
                <w:color w:val="000000"/>
                <w:sz w:val="20"/>
                <w:szCs w:val="20"/>
              </w:rPr>
              <w:t>0.007</w:t>
            </w:r>
          </w:p>
        </w:tc>
        <w:tc>
          <w:tcPr>
            <w:tcW w:w="880" w:type="dxa"/>
            <w:tcBorders>
              <w:top w:val="single" w:sz="4" w:space="0" w:color="auto"/>
              <w:left w:val="nil"/>
              <w:bottom w:val="single" w:sz="4" w:space="0" w:color="auto"/>
              <w:right w:val="nil"/>
            </w:tcBorders>
            <w:shd w:val="clear" w:color="auto" w:fill="auto"/>
            <w:vAlign w:val="center"/>
            <w:hideMark/>
          </w:tcPr>
          <w:p w14:paraId="356041B3" w14:textId="0113AD75" w:rsidR="00F539EE" w:rsidRPr="001051A3" w:rsidRDefault="00F539EE" w:rsidP="00901DF3">
            <w:pPr>
              <w:spacing w:line="480" w:lineRule="auto"/>
              <w:jc w:val="center"/>
              <w:rPr>
                <w:color w:val="000000"/>
                <w:sz w:val="20"/>
                <w:szCs w:val="20"/>
              </w:rPr>
            </w:pPr>
            <w:r w:rsidRPr="001B6A07">
              <w:rPr>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4FC46874" w14:textId="632FFD76" w:rsidR="00F539EE" w:rsidRPr="001051A3" w:rsidRDefault="00F539EE" w:rsidP="00901DF3">
            <w:pPr>
              <w:spacing w:line="480" w:lineRule="auto"/>
              <w:jc w:val="center"/>
              <w:rPr>
                <w:b/>
                <w:bCs/>
                <w:color w:val="000000"/>
                <w:sz w:val="20"/>
                <w:szCs w:val="20"/>
              </w:rPr>
            </w:pPr>
            <w:r w:rsidRPr="001B6A07">
              <w:rPr>
                <w:bCs/>
                <w:color w:val="000000"/>
                <w:sz w:val="20"/>
                <w:szCs w:val="20"/>
              </w:rPr>
              <w:t>0</w:t>
            </w:r>
          </w:p>
        </w:tc>
        <w:tc>
          <w:tcPr>
            <w:tcW w:w="1019" w:type="dxa"/>
            <w:tcBorders>
              <w:top w:val="single" w:sz="4" w:space="0" w:color="auto"/>
              <w:left w:val="nil"/>
              <w:bottom w:val="single" w:sz="4" w:space="0" w:color="auto"/>
              <w:right w:val="nil"/>
            </w:tcBorders>
            <w:shd w:val="clear" w:color="auto" w:fill="auto"/>
            <w:vAlign w:val="center"/>
            <w:hideMark/>
          </w:tcPr>
          <w:p w14:paraId="3CE81656" w14:textId="0F75B7F6" w:rsidR="00F539EE" w:rsidRPr="001051A3" w:rsidRDefault="00F539EE" w:rsidP="00901DF3">
            <w:pPr>
              <w:spacing w:line="480" w:lineRule="auto"/>
              <w:jc w:val="center"/>
              <w:rPr>
                <w:color w:val="000000"/>
                <w:sz w:val="20"/>
                <w:szCs w:val="20"/>
              </w:rPr>
            </w:pPr>
            <w:r w:rsidRPr="001B6A07">
              <w:rPr>
                <w:color w:val="000000"/>
                <w:sz w:val="20"/>
                <w:szCs w:val="20"/>
              </w:rPr>
              <w:t>0</w:t>
            </w:r>
          </w:p>
        </w:tc>
        <w:tc>
          <w:tcPr>
            <w:tcW w:w="891" w:type="dxa"/>
            <w:tcBorders>
              <w:top w:val="single" w:sz="4" w:space="0" w:color="auto"/>
              <w:bottom w:val="single" w:sz="4" w:space="0" w:color="auto"/>
            </w:tcBorders>
            <w:vAlign w:val="center"/>
          </w:tcPr>
          <w:p w14:paraId="57206BF3" w14:textId="6FA28645" w:rsidR="00F539EE" w:rsidRPr="001051A3" w:rsidRDefault="00F539EE" w:rsidP="00901DF3">
            <w:pPr>
              <w:spacing w:line="480" w:lineRule="auto"/>
              <w:jc w:val="center"/>
            </w:pPr>
            <w:r w:rsidRPr="001B6A07">
              <w:rPr>
                <w:color w:val="000000"/>
                <w:sz w:val="20"/>
                <w:szCs w:val="20"/>
              </w:rPr>
              <w:t>0</w:t>
            </w:r>
          </w:p>
        </w:tc>
        <w:tc>
          <w:tcPr>
            <w:tcW w:w="1148" w:type="dxa"/>
            <w:tcBorders>
              <w:top w:val="single" w:sz="4" w:space="0" w:color="auto"/>
              <w:bottom w:val="single" w:sz="4" w:space="0" w:color="auto"/>
              <w:right w:val="single" w:sz="4" w:space="0" w:color="auto"/>
            </w:tcBorders>
            <w:vAlign w:val="center"/>
          </w:tcPr>
          <w:p w14:paraId="11DA2E82" w14:textId="074436F9" w:rsidR="00F539EE" w:rsidRPr="001051A3" w:rsidRDefault="00F539EE" w:rsidP="00901DF3">
            <w:pPr>
              <w:spacing w:line="480" w:lineRule="auto"/>
              <w:jc w:val="center"/>
            </w:pPr>
            <w:r w:rsidRPr="001B6A07">
              <w:rPr>
                <w:color w:val="000000"/>
                <w:sz w:val="20"/>
                <w:szCs w:val="20"/>
              </w:rPr>
              <w:t>0</w:t>
            </w:r>
          </w:p>
        </w:tc>
      </w:tr>
      <w:tr w:rsidR="00B02787" w:rsidRPr="001051A3" w14:paraId="4EAC27A7" w14:textId="77777777" w:rsidTr="00257C69">
        <w:trPr>
          <w:trHeight w:val="300"/>
        </w:trPr>
        <w:tc>
          <w:tcPr>
            <w:tcW w:w="9152" w:type="dxa"/>
            <w:gridSpan w:val="7"/>
            <w:tcBorders>
              <w:top w:val="nil"/>
              <w:left w:val="single" w:sz="4" w:space="0" w:color="auto"/>
              <w:bottom w:val="single" w:sz="4" w:space="0" w:color="auto"/>
              <w:right w:val="single" w:sz="4" w:space="0" w:color="auto"/>
            </w:tcBorders>
            <w:shd w:val="clear" w:color="auto" w:fill="auto"/>
            <w:vAlign w:val="center"/>
          </w:tcPr>
          <w:p w14:paraId="2C4ADA79" w14:textId="0122164E" w:rsidR="00B02787" w:rsidRPr="00B02787" w:rsidRDefault="00B02787" w:rsidP="00901DF3">
            <w:pPr>
              <w:spacing w:line="480" w:lineRule="auto"/>
              <w:rPr>
                <w:b/>
                <w:color w:val="000000"/>
                <w:sz w:val="20"/>
                <w:szCs w:val="20"/>
              </w:rPr>
            </w:pPr>
            <w:r w:rsidRPr="00B02787">
              <w:rPr>
                <w:b/>
                <w:color w:val="000000"/>
                <w:sz w:val="20"/>
                <w:szCs w:val="20"/>
              </w:rPr>
              <w:t>4. Soil and water quality</w:t>
            </w:r>
          </w:p>
        </w:tc>
      </w:tr>
      <w:tr w:rsidR="00B02787" w:rsidRPr="001051A3" w14:paraId="018C0E5D" w14:textId="77777777" w:rsidTr="00257C69">
        <w:trPr>
          <w:trHeight w:val="300"/>
        </w:trPr>
        <w:tc>
          <w:tcPr>
            <w:tcW w:w="3240" w:type="dxa"/>
            <w:tcBorders>
              <w:top w:val="nil"/>
              <w:left w:val="single" w:sz="4" w:space="0" w:color="auto"/>
              <w:bottom w:val="single" w:sz="4" w:space="0" w:color="auto"/>
              <w:right w:val="nil"/>
            </w:tcBorders>
            <w:shd w:val="clear" w:color="auto" w:fill="auto"/>
            <w:vAlign w:val="center"/>
            <w:hideMark/>
          </w:tcPr>
          <w:p w14:paraId="516ACFE3" w14:textId="77777777" w:rsidR="00B02787" w:rsidRPr="001051A3" w:rsidRDefault="00B02787" w:rsidP="00901DF3">
            <w:pPr>
              <w:spacing w:line="480" w:lineRule="auto"/>
              <w:rPr>
                <w:color w:val="000000"/>
                <w:sz w:val="20"/>
                <w:szCs w:val="20"/>
              </w:rPr>
            </w:pPr>
            <w:r w:rsidRPr="001051A3">
              <w:rPr>
                <w:color w:val="000000"/>
                <w:sz w:val="20"/>
                <w:szCs w:val="20"/>
              </w:rPr>
              <w:t>Soil and water quality</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09B61BCC" w14:textId="77777777" w:rsidR="00B02787" w:rsidRPr="001051A3" w:rsidRDefault="00B02787" w:rsidP="00901DF3">
            <w:pPr>
              <w:spacing w:line="480" w:lineRule="auto"/>
              <w:jc w:val="center"/>
              <w:rPr>
                <w:b/>
                <w:bCs/>
                <w:color w:val="000000"/>
                <w:sz w:val="20"/>
                <w:szCs w:val="20"/>
              </w:rPr>
            </w:pPr>
            <w:r>
              <w:rPr>
                <w:b/>
                <w:bCs/>
                <w:color w:val="000000"/>
                <w:sz w:val="20"/>
                <w:szCs w:val="20"/>
              </w:rPr>
              <w:t>0.005</w:t>
            </w:r>
          </w:p>
        </w:tc>
        <w:tc>
          <w:tcPr>
            <w:tcW w:w="880" w:type="dxa"/>
            <w:tcBorders>
              <w:top w:val="single" w:sz="4" w:space="0" w:color="auto"/>
              <w:left w:val="nil"/>
              <w:bottom w:val="single" w:sz="4" w:space="0" w:color="auto"/>
              <w:right w:val="nil"/>
            </w:tcBorders>
            <w:shd w:val="clear" w:color="auto" w:fill="auto"/>
            <w:vAlign w:val="center"/>
            <w:hideMark/>
          </w:tcPr>
          <w:p w14:paraId="2A551CE7" w14:textId="77777777" w:rsidR="00B02787" w:rsidRPr="001051A3" w:rsidRDefault="00B02787" w:rsidP="00901DF3">
            <w:pPr>
              <w:spacing w:line="480" w:lineRule="auto"/>
              <w:jc w:val="center"/>
              <w:rPr>
                <w:color w:val="000000"/>
                <w:sz w:val="20"/>
                <w:szCs w:val="20"/>
              </w:rPr>
            </w:pPr>
            <w:r w:rsidRPr="001051A3">
              <w:rPr>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1E42A1D0" w14:textId="77777777" w:rsidR="00B02787" w:rsidRPr="001051A3" w:rsidRDefault="00B02787" w:rsidP="00901DF3">
            <w:pPr>
              <w:spacing w:line="480" w:lineRule="auto"/>
              <w:jc w:val="center"/>
              <w:rPr>
                <w:b/>
                <w:bCs/>
                <w:color w:val="000000"/>
                <w:sz w:val="20"/>
                <w:szCs w:val="20"/>
              </w:rPr>
            </w:pPr>
            <w:r>
              <w:rPr>
                <w:b/>
                <w:bCs/>
                <w:color w:val="000000"/>
                <w:sz w:val="20"/>
                <w:szCs w:val="20"/>
              </w:rPr>
              <w:t>&lt;</w:t>
            </w:r>
            <w:r w:rsidRPr="001051A3">
              <w:rPr>
                <w:b/>
                <w:bCs/>
                <w:color w:val="000000"/>
                <w:sz w:val="20"/>
                <w:szCs w:val="20"/>
              </w:rPr>
              <w:t>0.001</w:t>
            </w:r>
          </w:p>
        </w:tc>
        <w:tc>
          <w:tcPr>
            <w:tcW w:w="1019" w:type="dxa"/>
            <w:tcBorders>
              <w:top w:val="single" w:sz="4" w:space="0" w:color="auto"/>
              <w:left w:val="nil"/>
              <w:bottom w:val="single" w:sz="4" w:space="0" w:color="auto"/>
              <w:right w:val="nil"/>
            </w:tcBorders>
            <w:shd w:val="clear" w:color="auto" w:fill="auto"/>
            <w:vAlign w:val="center"/>
            <w:hideMark/>
          </w:tcPr>
          <w:p w14:paraId="7D465E82" w14:textId="77777777" w:rsidR="00B02787" w:rsidRPr="001051A3" w:rsidRDefault="00B02787" w:rsidP="00901DF3">
            <w:pPr>
              <w:spacing w:line="480" w:lineRule="auto"/>
              <w:jc w:val="center"/>
              <w:rPr>
                <w:color w:val="000000"/>
                <w:sz w:val="20"/>
                <w:szCs w:val="20"/>
              </w:rPr>
            </w:pPr>
            <w:r w:rsidRPr="001051A3">
              <w:rPr>
                <w:color w:val="000000"/>
                <w:sz w:val="20"/>
                <w:szCs w:val="20"/>
              </w:rPr>
              <w:t>0</w:t>
            </w:r>
          </w:p>
        </w:tc>
        <w:tc>
          <w:tcPr>
            <w:tcW w:w="891" w:type="dxa"/>
            <w:tcBorders>
              <w:top w:val="single" w:sz="4" w:space="0" w:color="auto"/>
              <w:bottom w:val="single" w:sz="4" w:space="0" w:color="auto"/>
            </w:tcBorders>
            <w:vAlign w:val="center"/>
          </w:tcPr>
          <w:p w14:paraId="0FA4990A" w14:textId="77777777" w:rsidR="00B02787" w:rsidRPr="001051A3" w:rsidRDefault="00B02787" w:rsidP="00901DF3">
            <w:pPr>
              <w:spacing w:line="480" w:lineRule="auto"/>
              <w:jc w:val="center"/>
            </w:pPr>
            <w:r>
              <w:rPr>
                <w:b/>
                <w:bCs/>
                <w:color w:val="000000"/>
                <w:sz w:val="20"/>
                <w:szCs w:val="20"/>
              </w:rPr>
              <w:t>&lt;</w:t>
            </w:r>
            <w:r w:rsidRPr="001051A3">
              <w:rPr>
                <w:b/>
                <w:bCs/>
                <w:color w:val="000000"/>
                <w:sz w:val="20"/>
                <w:szCs w:val="20"/>
              </w:rPr>
              <w:t>0.001</w:t>
            </w:r>
          </w:p>
        </w:tc>
        <w:tc>
          <w:tcPr>
            <w:tcW w:w="1148" w:type="dxa"/>
            <w:tcBorders>
              <w:top w:val="single" w:sz="4" w:space="0" w:color="auto"/>
              <w:bottom w:val="single" w:sz="4" w:space="0" w:color="auto"/>
              <w:right w:val="single" w:sz="4" w:space="0" w:color="auto"/>
            </w:tcBorders>
            <w:vAlign w:val="center"/>
          </w:tcPr>
          <w:p w14:paraId="388FD931" w14:textId="77777777" w:rsidR="00B02787" w:rsidRPr="001051A3" w:rsidRDefault="00B02787" w:rsidP="00901DF3">
            <w:pPr>
              <w:spacing w:line="480" w:lineRule="auto"/>
              <w:jc w:val="center"/>
            </w:pPr>
            <w:r w:rsidRPr="001051A3">
              <w:rPr>
                <w:color w:val="000000"/>
                <w:sz w:val="20"/>
                <w:szCs w:val="20"/>
              </w:rPr>
              <w:t>0</w:t>
            </w:r>
          </w:p>
        </w:tc>
      </w:tr>
      <w:tr w:rsidR="00B02787" w:rsidRPr="001051A3" w14:paraId="66EEF982" w14:textId="77777777" w:rsidTr="00257C69">
        <w:trPr>
          <w:trHeight w:val="300"/>
        </w:trPr>
        <w:tc>
          <w:tcPr>
            <w:tcW w:w="4225" w:type="dxa"/>
            <w:gridSpan w:val="2"/>
            <w:tcBorders>
              <w:top w:val="single" w:sz="4" w:space="0" w:color="auto"/>
              <w:left w:val="single" w:sz="4" w:space="0" w:color="auto"/>
              <w:bottom w:val="single" w:sz="4" w:space="0" w:color="auto"/>
              <w:right w:val="nil"/>
            </w:tcBorders>
            <w:shd w:val="clear" w:color="auto" w:fill="auto"/>
            <w:vAlign w:val="center"/>
          </w:tcPr>
          <w:p w14:paraId="27AAE0A6" w14:textId="1A0F058D" w:rsidR="00B02787" w:rsidRPr="00B02787" w:rsidRDefault="00B02787" w:rsidP="00901DF3">
            <w:pPr>
              <w:spacing w:line="480" w:lineRule="auto"/>
              <w:rPr>
                <w:b/>
                <w:bCs/>
                <w:color w:val="000000"/>
                <w:sz w:val="20"/>
                <w:szCs w:val="20"/>
              </w:rPr>
            </w:pPr>
            <w:r w:rsidRPr="00B02787">
              <w:rPr>
                <w:b/>
                <w:color w:val="000000"/>
                <w:sz w:val="20"/>
                <w:szCs w:val="20"/>
              </w:rPr>
              <w:t>5. Land use and infrastructure</w:t>
            </w:r>
          </w:p>
        </w:tc>
        <w:tc>
          <w:tcPr>
            <w:tcW w:w="880" w:type="dxa"/>
            <w:tcBorders>
              <w:top w:val="single" w:sz="4" w:space="0" w:color="auto"/>
              <w:left w:val="nil"/>
              <w:bottom w:val="single" w:sz="4" w:space="0" w:color="auto"/>
              <w:right w:val="nil"/>
            </w:tcBorders>
            <w:shd w:val="clear" w:color="auto" w:fill="auto"/>
            <w:vAlign w:val="center"/>
          </w:tcPr>
          <w:p w14:paraId="6179150C" w14:textId="77777777" w:rsidR="00B02787" w:rsidRPr="001051A3" w:rsidRDefault="00B02787" w:rsidP="00901DF3">
            <w:pPr>
              <w:spacing w:line="480" w:lineRule="auto"/>
              <w:jc w:val="center"/>
              <w:rPr>
                <w:color w:val="000000"/>
                <w:sz w:val="20"/>
                <w:szCs w:val="20"/>
              </w:rPr>
            </w:pPr>
          </w:p>
        </w:tc>
        <w:tc>
          <w:tcPr>
            <w:tcW w:w="985" w:type="dxa"/>
            <w:tcBorders>
              <w:top w:val="single" w:sz="4" w:space="0" w:color="auto"/>
              <w:left w:val="nil"/>
              <w:bottom w:val="single" w:sz="4" w:space="0" w:color="auto"/>
              <w:right w:val="nil"/>
            </w:tcBorders>
            <w:shd w:val="clear" w:color="auto" w:fill="auto"/>
            <w:vAlign w:val="center"/>
          </w:tcPr>
          <w:p w14:paraId="7D2957E7" w14:textId="77777777" w:rsidR="00B02787" w:rsidRPr="001051A3" w:rsidRDefault="00B02787" w:rsidP="00901DF3">
            <w:pPr>
              <w:spacing w:line="480" w:lineRule="auto"/>
              <w:jc w:val="center"/>
              <w:rPr>
                <w:b/>
                <w:bCs/>
                <w:color w:val="000000"/>
                <w:sz w:val="20"/>
                <w:szCs w:val="20"/>
              </w:rPr>
            </w:pPr>
          </w:p>
        </w:tc>
        <w:tc>
          <w:tcPr>
            <w:tcW w:w="1019" w:type="dxa"/>
            <w:tcBorders>
              <w:top w:val="single" w:sz="4" w:space="0" w:color="auto"/>
              <w:left w:val="nil"/>
              <w:bottom w:val="single" w:sz="4" w:space="0" w:color="auto"/>
              <w:right w:val="nil"/>
            </w:tcBorders>
            <w:shd w:val="clear" w:color="auto" w:fill="auto"/>
            <w:vAlign w:val="center"/>
          </w:tcPr>
          <w:p w14:paraId="361E445C" w14:textId="77777777" w:rsidR="00B02787" w:rsidRPr="001051A3" w:rsidRDefault="00B02787" w:rsidP="00901DF3">
            <w:pPr>
              <w:spacing w:line="480" w:lineRule="auto"/>
              <w:jc w:val="center"/>
              <w:rPr>
                <w:color w:val="000000"/>
                <w:sz w:val="20"/>
                <w:szCs w:val="20"/>
              </w:rPr>
            </w:pPr>
          </w:p>
        </w:tc>
        <w:tc>
          <w:tcPr>
            <w:tcW w:w="891" w:type="dxa"/>
            <w:tcBorders>
              <w:top w:val="single" w:sz="4" w:space="0" w:color="auto"/>
              <w:bottom w:val="single" w:sz="4" w:space="0" w:color="auto"/>
            </w:tcBorders>
            <w:vAlign w:val="center"/>
          </w:tcPr>
          <w:p w14:paraId="4231589C" w14:textId="77777777" w:rsidR="00B02787" w:rsidRPr="001051A3" w:rsidRDefault="00B02787" w:rsidP="00901DF3">
            <w:pPr>
              <w:spacing w:line="480" w:lineRule="auto"/>
              <w:jc w:val="center"/>
              <w:rPr>
                <w:b/>
                <w:bCs/>
                <w:color w:val="000000"/>
                <w:sz w:val="20"/>
                <w:szCs w:val="20"/>
              </w:rPr>
            </w:pPr>
          </w:p>
        </w:tc>
        <w:tc>
          <w:tcPr>
            <w:tcW w:w="1148" w:type="dxa"/>
            <w:tcBorders>
              <w:top w:val="single" w:sz="4" w:space="0" w:color="auto"/>
              <w:bottom w:val="single" w:sz="4" w:space="0" w:color="auto"/>
              <w:right w:val="single" w:sz="4" w:space="0" w:color="auto"/>
            </w:tcBorders>
            <w:vAlign w:val="center"/>
          </w:tcPr>
          <w:p w14:paraId="7A2134AE" w14:textId="77777777" w:rsidR="00B02787" w:rsidRPr="001051A3" w:rsidRDefault="00B02787" w:rsidP="00901DF3">
            <w:pPr>
              <w:spacing w:line="480" w:lineRule="auto"/>
              <w:jc w:val="center"/>
              <w:rPr>
                <w:color w:val="000000"/>
                <w:sz w:val="20"/>
                <w:szCs w:val="20"/>
              </w:rPr>
            </w:pPr>
          </w:p>
        </w:tc>
      </w:tr>
      <w:tr w:rsidR="001B1C04" w:rsidRPr="001051A3" w14:paraId="6535B475" w14:textId="69E8FA14" w:rsidTr="00257C69">
        <w:trPr>
          <w:trHeight w:val="300"/>
        </w:trPr>
        <w:tc>
          <w:tcPr>
            <w:tcW w:w="3240" w:type="dxa"/>
            <w:tcBorders>
              <w:top w:val="single" w:sz="4" w:space="0" w:color="auto"/>
              <w:left w:val="single" w:sz="4" w:space="0" w:color="auto"/>
              <w:bottom w:val="single" w:sz="4" w:space="0" w:color="auto"/>
              <w:right w:val="nil"/>
            </w:tcBorders>
            <w:shd w:val="clear" w:color="auto" w:fill="auto"/>
            <w:vAlign w:val="center"/>
            <w:hideMark/>
          </w:tcPr>
          <w:p w14:paraId="7DBB292D" w14:textId="0B38CC30" w:rsidR="001B1C04" w:rsidRPr="001051A3" w:rsidRDefault="00B02787" w:rsidP="00901DF3">
            <w:pPr>
              <w:spacing w:line="480" w:lineRule="auto"/>
              <w:rPr>
                <w:color w:val="000000"/>
                <w:sz w:val="20"/>
                <w:szCs w:val="20"/>
              </w:rPr>
            </w:pPr>
            <w:r>
              <w:rPr>
                <w:color w:val="000000"/>
                <w:sz w:val="20"/>
                <w:szCs w:val="20"/>
              </w:rPr>
              <w:t xml:space="preserve">  </w:t>
            </w:r>
            <w:r w:rsidR="001B1C04" w:rsidRPr="001051A3">
              <w:rPr>
                <w:color w:val="000000"/>
                <w:sz w:val="20"/>
                <w:szCs w:val="20"/>
              </w:rPr>
              <w:t>Infrastructure Construction</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1027A906" w14:textId="0C83B24B" w:rsidR="001B1C04" w:rsidRPr="001051A3" w:rsidRDefault="001B1C04" w:rsidP="00901DF3">
            <w:pPr>
              <w:spacing w:line="480" w:lineRule="auto"/>
              <w:jc w:val="center"/>
              <w:rPr>
                <w:b/>
                <w:bCs/>
                <w:color w:val="000000"/>
                <w:sz w:val="20"/>
                <w:szCs w:val="20"/>
              </w:rPr>
            </w:pPr>
            <w:r w:rsidRPr="001051A3">
              <w:rPr>
                <w:b/>
                <w:bCs/>
                <w:color w:val="000000"/>
                <w:sz w:val="20"/>
                <w:szCs w:val="20"/>
              </w:rPr>
              <w:t>0.0</w:t>
            </w:r>
            <w:r w:rsidR="002B1E17">
              <w:rPr>
                <w:b/>
                <w:bCs/>
                <w:color w:val="000000"/>
                <w:sz w:val="20"/>
                <w:szCs w:val="20"/>
              </w:rPr>
              <w:t>3</w:t>
            </w:r>
            <w:r w:rsidR="009B6520">
              <w:rPr>
                <w:b/>
                <w:bCs/>
                <w:color w:val="000000"/>
                <w:sz w:val="20"/>
                <w:szCs w:val="20"/>
              </w:rPr>
              <w:t>0</w:t>
            </w:r>
          </w:p>
        </w:tc>
        <w:tc>
          <w:tcPr>
            <w:tcW w:w="880" w:type="dxa"/>
            <w:tcBorders>
              <w:top w:val="single" w:sz="4" w:space="0" w:color="auto"/>
              <w:left w:val="nil"/>
              <w:bottom w:val="single" w:sz="4" w:space="0" w:color="auto"/>
              <w:right w:val="nil"/>
            </w:tcBorders>
            <w:shd w:val="clear" w:color="auto" w:fill="auto"/>
            <w:vAlign w:val="center"/>
            <w:hideMark/>
          </w:tcPr>
          <w:p w14:paraId="5C8C0074"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78B37427" w14:textId="3BFB54BC" w:rsidR="001B1C04" w:rsidRPr="001051A3" w:rsidRDefault="001B1C04" w:rsidP="00901DF3">
            <w:pPr>
              <w:spacing w:line="480" w:lineRule="auto"/>
              <w:jc w:val="center"/>
              <w:rPr>
                <w:b/>
                <w:bCs/>
                <w:color w:val="000000"/>
                <w:sz w:val="20"/>
                <w:szCs w:val="20"/>
              </w:rPr>
            </w:pPr>
            <w:r w:rsidRPr="001051A3">
              <w:rPr>
                <w:b/>
                <w:bCs/>
                <w:color w:val="000000"/>
                <w:sz w:val="20"/>
                <w:szCs w:val="20"/>
              </w:rPr>
              <w:t>0.0</w:t>
            </w:r>
            <w:r w:rsidR="009B6520">
              <w:rPr>
                <w:b/>
                <w:bCs/>
                <w:color w:val="000000"/>
                <w:sz w:val="20"/>
                <w:szCs w:val="20"/>
              </w:rPr>
              <w:t>0</w:t>
            </w:r>
            <w:r w:rsidR="002B1E17">
              <w:rPr>
                <w:b/>
                <w:bCs/>
                <w:color w:val="000000"/>
                <w:sz w:val="20"/>
                <w:szCs w:val="20"/>
              </w:rPr>
              <w:t>2</w:t>
            </w:r>
          </w:p>
        </w:tc>
        <w:tc>
          <w:tcPr>
            <w:tcW w:w="1019" w:type="dxa"/>
            <w:tcBorders>
              <w:top w:val="single" w:sz="4" w:space="0" w:color="auto"/>
              <w:left w:val="nil"/>
              <w:bottom w:val="single" w:sz="4" w:space="0" w:color="auto"/>
              <w:right w:val="nil"/>
            </w:tcBorders>
            <w:shd w:val="clear" w:color="auto" w:fill="auto"/>
            <w:vAlign w:val="center"/>
            <w:hideMark/>
          </w:tcPr>
          <w:p w14:paraId="177BF9C1"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891" w:type="dxa"/>
            <w:tcBorders>
              <w:top w:val="single" w:sz="4" w:space="0" w:color="auto"/>
              <w:bottom w:val="single" w:sz="4" w:space="0" w:color="auto"/>
            </w:tcBorders>
            <w:vAlign w:val="center"/>
          </w:tcPr>
          <w:p w14:paraId="29CECC26" w14:textId="5ECF0E10" w:rsidR="001B1C04" w:rsidRPr="001051A3" w:rsidRDefault="001B1C04" w:rsidP="00901DF3">
            <w:pPr>
              <w:spacing w:line="480" w:lineRule="auto"/>
              <w:jc w:val="center"/>
            </w:pPr>
            <w:r w:rsidRPr="001051A3">
              <w:rPr>
                <w:b/>
                <w:bCs/>
                <w:color w:val="000000"/>
                <w:sz w:val="20"/>
                <w:szCs w:val="20"/>
              </w:rPr>
              <w:t>0.0</w:t>
            </w:r>
            <w:r w:rsidR="003F7F09">
              <w:rPr>
                <w:b/>
                <w:bCs/>
                <w:color w:val="000000"/>
                <w:sz w:val="20"/>
                <w:szCs w:val="20"/>
              </w:rPr>
              <w:t>0</w:t>
            </w:r>
            <w:r w:rsidR="002B1E17">
              <w:rPr>
                <w:b/>
                <w:bCs/>
                <w:color w:val="000000"/>
                <w:sz w:val="20"/>
                <w:szCs w:val="20"/>
              </w:rPr>
              <w:t>2</w:t>
            </w:r>
          </w:p>
        </w:tc>
        <w:tc>
          <w:tcPr>
            <w:tcW w:w="1148" w:type="dxa"/>
            <w:tcBorders>
              <w:top w:val="single" w:sz="4" w:space="0" w:color="auto"/>
              <w:bottom w:val="single" w:sz="4" w:space="0" w:color="auto"/>
              <w:right w:val="single" w:sz="4" w:space="0" w:color="auto"/>
            </w:tcBorders>
            <w:vAlign w:val="center"/>
          </w:tcPr>
          <w:p w14:paraId="7D7AA372" w14:textId="169AD4B3" w:rsidR="001B1C04" w:rsidRPr="001051A3" w:rsidRDefault="001B1C04" w:rsidP="00901DF3">
            <w:pPr>
              <w:spacing w:line="480" w:lineRule="auto"/>
              <w:jc w:val="center"/>
            </w:pPr>
            <w:r w:rsidRPr="001051A3">
              <w:rPr>
                <w:color w:val="000000"/>
                <w:sz w:val="20"/>
                <w:szCs w:val="20"/>
              </w:rPr>
              <w:t>0</w:t>
            </w:r>
          </w:p>
        </w:tc>
      </w:tr>
      <w:tr w:rsidR="001B1C04" w:rsidRPr="001051A3" w14:paraId="38E0D203" w14:textId="4CDE9E35" w:rsidTr="00257C69">
        <w:trPr>
          <w:trHeight w:val="300"/>
        </w:trPr>
        <w:tc>
          <w:tcPr>
            <w:tcW w:w="3240" w:type="dxa"/>
            <w:tcBorders>
              <w:top w:val="single" w:sz="4" w:space="0" w:color="auto"/>
              <w:left w:val="single" w:sz="4" w:space="0" w:color="auto"/>
              <w:bottom w:val="single" w:sz="4" w:space="0" w:color="auto"/>
              <w:right w:val="nil"/>
            </w:tcBorders>
            <w:shd w:val="clear" w:color="auto" w:fill="auto"/>
            <w:vAlign w:val="center"/>
            <w:hideMark/>
          </w:tcPr>
          <w:p w14:paraId="5858D0AF" w14:textId="1CFE03B0" w:rsidR="001B1C04" w:rsidRPr="001051A3" w:rsidRDefault="00B02787" w:rsidP="00901DF3">
            <w:pPr>
              <w:spacing w:line="480" w:lineRule="auto"/>
              <w:rPr>
                <w:color w:val="000000"/>
                <w:sz w:val="20"/>
                <w:szCs w:val="20"/>
              </w:rPr>
            </w:pPr>
            <w:r>
              <w:rPr>
                <w:color w:val="000000"/>
                <w:sz w:val="20"/>
                <w:szCs w:val="20"/>
              </w:rPr>
              <w:t xml:space="preserve">  </w:t>
            </w:r>
            <w:r w:rsidR="001B1C04" w:rsidRPr="001051A3">
              <w:rPr>
                <w:color w:val="000000"/>
                <w:sz w:val="20"/>
                <w:szCs w:val="20"/>
              </w:rPr>
              <w:t>Roadway land use</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624A9DCB" w14:textId="485B54C1" w:rsidR="001B1C04" w:rsidRPr="001051A3" w:rsidRDefault="002B1E17" w:rsidP="00901DF3">
            <w:pPr>
              <w:spacing w:line="480" w:lineRule="auto"/>
              <w:jc w:val="center"/>
              <w:rPr>
                <w:b/>
                <w:bCs/>
                <w:color w:val="000000"/>
                <w:sz w:val="20"/>
                <w:szCs w:val="20"/>
              </w:rPr>
            </w:pPr>
            <w:r>
              <w:rPr>
                <w:b/>
                <w:bCs/>
                <w:color w:val="000000"/>
                <w:sz w:val="20"/>
                <w:szCs w:val="20"/>
              </w:rPr>
              <w:t>0.011</w:t>
            </w:r>
          </w:p>
        </w:tc>
        <w:tc>
          <w:tcPr>
            <w:tcW w:w="880" w:type="dxa"/>
            <w:tcBorders>
              <w:top w:val="single" w:sz="4" w:space="0" w:color="auto"/>
              <w:left w:val="nil"/>
              <w:bottom w:val="single" w:sz="4" w:space="0" w:color="auto"/>
              <w:right w:val="nil"/>
            </w:tcBorders>
            <w:shd w:val="clear" w:color="auto" w:fill="auto"/>
            <w:vAlign w:val="center"/>
            <w:hideMark/>
          </w:tcPr>
          <w:p w14:paraId="639454E1" w14:textId="23DB07C9" w:rsidR="001B1C04" w:rsidRPr="001051A3" w:rsidRDefault="002B1E17" w:rsidP="00901DF3">
            <w:pPr>
              <w:spacing w:line="480" w:lineRule="auto"/>
              <w:jc w:val="center"/>
              <w:rPr>
                <w:color w:val="000000"/>
                <w:sz w:val="20"/>
                <w:szCs w:val="20"/>
              </w:rPr>
            </w:pPr>
            <w:r>
              <w:rPr>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424FBD77" w14:textId="6E812C62" w:rsidR="001B1C04" w:rsidRPr="001051A3" w:rsidRDefault="002B1E17" w:rsidP="00901DF3">
            <w:pPr>
              <w:spacing w:line="480" w:lineRule="auto"/>
              <w:jc w:val="center"/>
              <w:rPr>
                <w:b/>
                <w:bCs/>
                <w:color w:val="000000"/>
                <w:sz w:val="20"/>
                <w:szCs w:val="20"/>
              </w:rPr>
            </w:pPr>
            <w:r w:rsidRPr="001051A3">
              <w:rPr>
                <w:b/>
                <w:bCs/>
                <w:color w:val="000000"/>
                <w:sz w:val="20"/>
                <w:szCs w:val="20"/>
              </w:rPr>
              <w:t>&lt;0.001</w:t>
            </w:r>
          </w:p>
        </w:tc>
        <w:tc>
          <w:tcPr>
            <w:tcW w:w="1019" w:type="dxa"/>
            <w:tcBorders>
              <w:top w:val="single" w:sz="4" w:space="0" w:color="auto"/>
              <w:left w:val="nil"/>
              <w:bottom w:val="single" w:sz="4" w:space="0" w:color="auto"/>
              <w:right w:val="nil"/>
            </w:tcBorders>
            <w:shd w:val="clear" w:color="auto" w:fill="auto"/>
            <w:vAlign w:val="center"/>
            <w:hideMark/>
          </w:tcPr>
          <w:p w14:paraId="08244591"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891" w:type="dxa"/>
            <w:tcBorders>
              <w:top w:val="single" w:sz="4" w:space="0" w:color="auto"/>
              <w:bottom w:val="single" w:sz="4" w:space="0" w:color="auto"/>
            </w:tcBorders>
            <w:vAlign w:val="center"/>
          </w:tcPr>
          <w:p w14:paraId="13684687" w14:textId="008FA40A" w:rsidR="001B1C04" w:rsidRPr="001051A3" w:rsidRDefault="002B1E17" w:rsidP="00901DF3">
            <w:pPr>
              <w:spacing w:line="480" w:lineRule="auto"/>
              <w:jc w:val="center"/>
            </w:pPr>
            <w:r w:rsidRPr="001051A3">
              <w:rPr>
                <w:b/>
                <w:bCs/>
                <w:color w:val="000000"/>
                <w:sz w:val="20"/>
                <w:szCs w:val="20"/>
              </w:rPr>
              <w:t>&lt;0.001</w:t>
            </w:r>
          </w:p>
        </w:tc>
        <w:tc>
          <w:tcPr>
            <w:tcW w:w="1148" w:type="dxa"/>
            <w:tcBorders>
              <w:top w:val="single" w:sz="4" w:space="0" w:color="auto"/>
              <w:bottom w:val="single" w:sz="4" w:space="0" w:color="auto"/>
              <w:right w:val="single" w:sz="4" w:space="0" w:color="auto"/>
            </w:tcBorders>
            <w:vAlign w:val="center"/>
          </w:tcPr>
          <w:p w14:paraId="22665268" w14:textId="639A8B0F" w:rsidR="001B1C04" w:rsidRPr="001051A3" w:rsidRDefault="001B1C04" w:rsidP="00901DF3">
            <w:pPr>
              <w:spacing w:line="480" w:lineRule="auto"/>
              <w:jc w:val="center"/>
            </w:pPr>
            <w:r w:rsidRPr="001051A3">
              <w:rPr>
                <w:color w:val="000000"/>
                <w:sz w:val="20"/>
                <w:szCs w:val="20"/>
              </w:rPr>
              <w:t>0</w:t>
            </w:r>
          </w:p>
        </w:tc>
      </w:tr>
      <w:tr w:rsidR="001B1C04" w:rsidRPr="001051A3" w14:paraId="1F68F98D" w14:textId="3AD5A6D3" w:rsidTr="00257C69">
        <w:trPr>
          <w:trHeight w:val="300"/>
        </w:trPr>
        <w:tc>
          <w:tcPr>
            <w:tcW w:w="3240" w:type="dxa"/>
            <w:tcBorders>
              <w:top w:val="single" w:sz="4" w:space="0" w:color="auto"/>
              <w:left w:val="single" w:sz="4" w:space="0" w:color="auto"/>
              <w:bottom w:val="single" w:sz="4" w:space="0" w:color="auto"/>
              <w:right w:val="nil"/>
            </w:tcBorders>
            <w:shd w:val="clear" w:color="auto" w:fill="auto"/>
            <w:vAlign w:val="center"/>
            <w:hideMark/>
          </w:tcPr>
          <w:p w14:paraId="23E5A205" w14:textId="57E03DE5" w:rsidR="001B1C04" w:rsidRPr="001051A3" w:rsidRDefault="00B02787" w:rsidP="00901DF3">
            <w:pPr>
              <w:spacing w:line="480" w:lineRule="auto"/>
              <w:rPr>
                <w:color w:val="000000"/>
                <w:sz w:val="20"/>
                <w:szCs w:val="20"/>
              </w:rPr>
            </w:pPr>
            <w:r>
              <w:rPr>
                <w:color w:val="000000"/>
                <w:sz w:val="20"/>
                <w:szCs w:val="20"/>
              </w:rPr>
              <w:t xml:space="preserve">  </w:t>
            </w:r>
            <w:r w:rsidR="001B1C04" w:rsidRPr="001051A3">
              <w:rPr>
                <w:color w:val="000000"/>
                <w:sz w:val="20"/>
                <w:szCs w:val="20"/>
              </w:rPr>
              <w:t>Parking land use</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3B8566FE" w14:textId="24C679AC" w:rsidR="001B1C04" w:rsidRPr="001051A3" w:rsidRDefault="002B1E17" w:rsidP="00901DF3">
            <w:pPr>
              <w:spacing w:line="480" w:lineRule="auto"/>
              <w:jc w:val="center"/>
              <w:rPr>
                <w:b/>
                <w:bCs/>
                <w:color w:val="000000"/>
                <w:sz w:val="20"/>
                <w:szCs w:val="20"/>
              </w:rPr>
            </w:pPr>
            <w:r>
              <w:rPr>
                <w:b/>
                <w:bCs/>
                <w:color w:val="000000"/>
                <w:sz w:val="20"/>
                <w:szCs w:val="20"/>
              </w:rPr>
              <w:t>0.021</w:t>
            </w:r>
          </w:p>
        </w:tc>
        <w:tc>
          <w:tcPr>
            <w:tcW w:w="880" w:type="dxa"/>
            <w:tcBorders>
              <w:top w:val="single" w:sz="4" w:space="0" w:color="auto"/>
              <w:left w:val="nil"/>
              <w:bottom w:val="single" w:sz="4" w:space="0" w:color="auto"/>
              <w:right w:val="nil"/>
            </w:tcBorders>
            <w:shd w:val="clear" w:color="auto" w:fill="auto"/>
            <w:vAlign w:val="center"/>
            <w:hideMark/>
          </w:tcPr>
          <w:p w14:paraId="07CCFB90" w14:textId="62DB1365" w:rsidR="001B1C04" w:rsidRPr="001051A3" w:rsidRDefault="002B1E17" w:rsidP="00901DF3">
            <w:pPr>
              <w:spacing w:line="480" w:lineRule="auto"/>
              <w:jc w:val="center"/>
              <w:rPr>
                <w:b/>
                <w:bCs/>
                <w:color w:val="000000"/>
                <w:sz w:val="20"/>
                <w:szCs w:val="20"/>
              </w:rPr>
            </w:pPr>
            <w:r>
              <w:rPr>
                <w:b/>
                <w:bCs/>
                <w:color w:val="000000"/>
                <w:sz w:val="20"/>
                <w:szCs w:val="20"/>
              </w:rPr>
              <w:t>0.022</w:t>
            </w:r>
          </w:p>
        </w:tc>
        <w:tc>
          <w:tcPr>
            <w:tcW w:w="985" w:type="dxa"/>
            <w:tcBorders>
              <w:top w:val="single" w:sz="4" w:space="0" w:color="auto"/>
              <w:left w:val="nil"/>
              <w:bottom w:val="single" w:sz="4" w:space="0" w:color="auto"/>
              <w:right w:val="nil"/>
            </w:tcBorders>
            <w:shd w:val="clear" w:color="auto" w:fill="auto"/>
            <w:vAlign w:val="center"/>
            <w:hideMark/>
          </w:tcPr>
          <w:p w14:paraId="483ACB9D" w14:textId="60AD8042" w:rsidR="001B1C04" w:rsidRPr="001051A3" w:rsidRDefault="002B1E17" w:rsidP="00901DF3">
            <w:pPr>
              <w:spacing w:line="480" w:lineRule="auto"/>
              <w:jc w:val="center"/>
              <w:rPr>
                <w:b/>
                <w:bCs/>
                <w:color w:val="000000"/>
                <w:sz w:val="20"/>
                <w:szCs w:val="20"/>
              </w:rPr>
            </w:pPr>
            <w:r>
              <w:rPr>
                <w:b/>
                <w:bCs/>
                <w:color w:val="000000"/>
                <w:sz w:val="20"/>
                <w:szCs w:val="20"/>
              </w:rPr>
              <w:t>&lt;</w:t>
            </w:r>
            <w:r w:rsidRPr="001051A3">
              <w:rPr>
                <w:b/>
                <w:bCs/>
                <w:color w:val="000000"/>
                <w:sz w:val="20"/>
                <w:szCs w:val="20"/>
              </w:rPr>
              <w:t>0.001</w:t>
            </w:r>
          </w:p>
        </w:tc>
        <w:tc>
          <w:tcPr>
            <w:tcW w:w="1019" w:type="dxa"/>
            <w:tcBorders>
              <w:top w:val="single" w:sz="4" w:space="0" w:color="auto"/>
              <w:left w:val="nil"/>
              <w:bottom w:val="single" w:sz="4" w:space="0" w:color="auto"/>
              <w:right w:val="nil"/>
            </w:tcBorders>
            <w:shd w:val="clear" w:color="auto" w:fill="auto"/>
            <w:vAlign w:val="center"/>
            <w:hideMark/>
          </w:tcPr>
          <w:p w14:paraId="12A2257F" w14:textId="2EE9E2E4" w:rsidR="001B1C04" w:rsidRPr="001051A3" w:rsidRDefault="002B1E17" w:rsidP="00901DF3">
            <w:pPr>
              <w:spacing w:line="480" w:lineRule="auto"/>
              <w:jc w:val="center"/>
              <w:rPr>
                <w:b/>
                <w:bCs/>
                <w:color w:val="000000"/>
                <w:sz w:val="20"/>
                <w:szCs w:val="20"/>
              </w:rPr>
            </w:pPr>
            <w:r>
              <w:rPr>
                <w:b/>
                <w:bCs/>
                <w:color w:val="000000"/>
                <w:sz w:val="20"/>
                <w:szCs w:val="20"/>
              </w:rPr>
              <w:t>&lt;</w:t>
            </w:r>
            <w:r w:rsidRPr="001051A3">
              <w:rPr>
                <w:b/>
                <w:bCs/>
                <w:color w:val="000000"/>
                <w:sz w:val="20"/>
                <w:szCs w:val="20"/>
              </w:rPr>
              <w:t>0.001</w:t>
            </w:r>
          </w:p>
        </w:tc>
        <w:tc>
          <w:tcPr>
            <w:tcW w:w="891" w:type="dxa"/>
            <w:tcBorders>
              <w:top w:val="single" w:sz="4" w:space="0" w:color="auto"/>
              <w:bottom w:val="single" w:sz="4" w:space="0" w:color="auto"/>
            </w:tcBorders>
            <w:vAlign w:val="center"/>
          </w:tcPr>
          <w:p w14:paraId="316DC777" w14:textId="62D85828" w:rsidR="001B1C04" w:rsidRPr="001051A3" w:rsidRDefault="002B1E17" w:rsidP="00901DF3">
            <w:pPr>
              <w:spacing w:line="480" w:lineRule="auto"/>
              <w:jc w:val="center"/>
            </w:pPr>
            <w:r>
              <w:rPr>
                <w:b/>
                <w:bCs/>
                <w:color w:val="000000"/>
                <w:sz w:val="20"/>
                <w:szCs w:val="20"/>
              </w:rPr>
              <w:t>-</w:t>
            </w:r>
          </w:p>
        </w:tc>
        <w:tc>
          <w:tcPr>
            <w:tcW w:w="1148" w:type="dxa"/>
            <w:tcBorders>
              <w:top w:val="single" w:sz="4" w:space="0" w:color="auto"/>
              <w:bottom w:val="single" w:sz="4" w:space="0" w:color="auto"/>
              <w:right w:val="single" w:sz="4" w:space="0" w:color="auto"/>
            </w:tcBorders>
            <w:vAlign w:val="center"/>
          </w:tcPr>
          <w:p w14:paraId="5B89FFC3" w14:textId="39F9ACBC" w:rsidR="001B1C04" w:rsidRPr="001051A3" w:rsidRDefault="002B1E17" w:rsidP="00901DF3">
            <w:pPr>
              <w:spacing w:line="480" w:lineRule="auto"/>
              <w:jc w:val="center"/>
            </w:pPr>
            <w:r>
              <w:rPr>
                <w:b/>
                <w:bCs/>
                <w:color w:val="000000"/>
                <w:sz w:val="20"/>
                <w:szCs w:val="20"/>
              </w:rPr>
              <w:t>-</w:t>
            </w:r>
          </w:p>
        </w:tc>
      </w:tr>
      <w:tr w:rsidR="001B1C04" w:rsidRPr="001051A3" w14:paraId="785C38BE" w14:textId="5ABAFD5C" w:rsidTr="00257C69">
        <w:trPr>
          <w:trHeight w:val="300"/>
        </w:trPr>
        <w:tc>
          <w:tcPr>
            <w:tcW w:w="3240" w:type="dxa"/>
            <w:tcBorders>
              <w:top w:val="single" w:sz="4" w:space="0" w:color="auto"/>
              <w:left w:val="single" w:sz="4" w:space="0" w:color="auto"/>
              <w:bottom w:val="single" w:sz="4" w:space="0" w:color="auto"/>
              <w:right w:val="nil"/>
            </w:tcBorders>
            <w:shd w:val="clear" w:color="auto" w:fill="auto"/>
            <w:vAlign w:val="center"/>
            <w:hideMark/>
          </w:tcPr>
          <w:p w14:paraId="193A5A2F" w14:textId="68B71E5D" w:rsidR="001B1C04" w:rsidRPr="001051A3" w:rsidRDefault="00824B1D" w:rsidP="00901DF3">
            <w:pPr>
              <w:spacing w:line="480" w:lineRule="auto"/>
              <w:rPr>
                <w:color w:val="000000"/>
                <w:sz w:val="20"/>
                <w:szCs w:val="20"/>
              </w:rPr>
            </w:pPr>
            <w:r>
              <w:rPr>
                <w:color w:val="000000"/>
                <w:sz w:val="20"/>
                <w:szCs w:val="20"/>
              </w:rPr>
              <w:t xml:space="preserve">  </w:t>
            </w:r>
            <w:r w:rsidR="001B1C04" w:rsidRPr="001051A3">
              <w:rPr>
                <w:color w:val="000000"/>
                <w:sz w:val="20"/>
                <w:szCs w:val="20"/>
              </w:rPr>
              <w:t>Ecosystem services</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6EA28D3F" w14:textId="77777777" w:rsidR="001B1C04" w:rsidRPr="001051A3" w:rsidRDefault="001B1C04" w:rsidP="00901DF3">
            <w:pPr>
              <w:spacing w:line="480" w:lineRule="auto"/>
              <w:jc w:val="center"/>
              <w:rPr>
                <w:b/>
                <w:bCs/>
                <w:color w:val="000000"/>
                <w:sz w:val="20"/>
                <w:szCs w:val="20"/>
              </w:rPr>
            </w:pPr>
            <w:r w:rsidRPr="001051A3">
              <w:rPr>
                <w:b/>
                <w:bCs/>
                <w:color w:val="000000"/>
                <w:sz w:val="20"/>
                <w:szCs w:val="20"/>
              </w:rPr>
              <w:t>?</w:t>
            </w:r>
          </w:p>
        </w:tc>
        <w:tc>
          <w:tcPr>
            <w:tcW w:w="880" w:type="dxa"/>
            <w:tcBorders>
              <w:top w:val="single" w:sz="4" w:space="0" w:color="auto"/>
              <w:left w:val="nil"/>
              <w:bottom w:val="single" w:sz="4" w:space="0" w:color="auto"/>
              <w:right w:val="nil"/>
            </w:tcBorders>
            <w:shd w:val="clear" w:color="auto" w:fill="auto"/>
            <w:vAlign w:val="center"/>
            <w:hideMark/>
          </w:tcPr>
          <w:p w14:paraId="6D11915C"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36AD73F6" w14:textId="77777777" w:rsidR="001B1C04" w:rsidRPr="001051A3" w:rsidRDefault="001B1C04" w:rsidP="00901DF3">
            <w:pPr>
              <w:spacing w:line="480" w:lineRule="auto"/>
              <w:jc w:val="center"/>
              <w:rPr>
                <w:b/>
                <w:bCs/>
                <w:color w:val="000000"/>
                <w:sz w:val="20"/>
                <w:szCs w:val="20"/>
              </w:rPr>
            </w:pPr>
            <w:r w:rsidRPr="001051A3">
              <w:rPr>
                <w:b/>
                <w:bCs/>
                <w:color w:val="000000"/>
                <w:sz w:val="20"/>
                <w:szCs w:val="20"/>
              </w:rPr>
              <w:t>?</w:t>
            </w:r>
          </w:p>
        </w:tc>
        <w:tc>
          <w:tcPr>
            <w:tcW w:w="1019" w:type="dxa"/>
            <w:tcBorders>
              <w:top w:val="single" w:sz="4" w:space="0" w:color="auto"/>
              <w:left w:val="nil"/>
              <w:bottom w:val="single" w:sz="4" w:space="0" w:color="auto"/>
              <w:right w:val="nil"/>
            </w:tcBorders>
            <w:shd w:val="clear" w:color="auto" w:fill="auto"/>
            <w:vAlign w:val="center"/>
            <w:hideMark/>
          </w:tcPr>
          <w:p w14:paraId="37466CE6"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891" w:type="dxa"/>
            <w:tcBorders>
              <w:top w:val="single" w:sz="4" w:space="0" w:color="auto"/>
              <w:bottom w:val="single" w:sz="4" w:space="0" w:color="auto"/>
            </w:tcBorders>
            <w:vAlign w:val="center"/>
          </w:tcPr>
          <w:p w14:paraId="5296A570" w14:textId="04FE1FBF" w:rsidR="001B1C04" w:rsidRPr="001051A3" w:rsidRDefault="001B1C04" w:rsidP="00901DF3">
            <w:pPr>
              <w:spacing w:line="480" w:lineRule="auto"/>
              <w:jc w:val="center"/>
            </w:pPr>
            <w:r w:rsidRPr="001051A3">
              <w:rPr>
                <w:b/>
                <w:bCs/>
                <w:color w:val="000000"/>
                <w:sz w:val="20"/>
                <w:szCs w:val="20"/>
              </w:rPr>
              <w:t>?</w:t>
            </w:r>
          </w:p>
        </w:tc>
        <w:tc>
          <w:tcPr>
            <w:tcW w:w="1148" w:type="dxa"/>
            <w:tcBorders>
              <w:top w:val="single" w:sz="4" w:space="0" w:color="auto"/>
              <w:bottom w:val="single" w:sz="4" w:space="0" w:color="auto"/>
              <w:right w:val="single" w:sz="4" w:space="0" w:color="auto"/>
            </w:tcBorders>
            <w:vAlign w:val="center"/>
          </w:tcPr>
          <w:p w14:paraId="78558C8E" w14:textId="2414951D" w:rsidR="001B1C04" w:rsidRPr="001051A3" w:rsidRDefault="001B1C04" w:rsidP="00901DF3">
            <w:pPr>
              <w:spacing w:line="480" w:lineRule="auto"/>
              <w:jc w:val="center"/>
            </w:pPr>
            <w:r w:rsidRPr="001051A3">
              <w:rPr>
                <w:color w:val="000000"/>
                <w:sz w:val="20"/>
                <w:szCs w:val="20"/>
              </w:rPr>
              <w:t>0</w:t>
            </w:r>
          </w:p>
        </w:tc>
      </w:tr>
      <w:tr w:rsidR="00824B1D" w:rsidRPr="001051A3" w14:paraId="57D7BFAA" w14:textId="77777777" w:rsidTr="00257C69">
        <w:trPr>
          <w:trHeight w:val="334"/>
        </w:trPr>
        <w:tc>
          <w:tcPr>
            <w:tcW w:w="91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6C8FDC" w14:textId="44F22267" w:rsidR="00824B1D" w:rsidRPr="001051A3" w:rsidRDefault="00824B1D" w:rsidP="00901DF3">
            <w:pPr>
              <w:spacing w:line="480" w:lineRule="auto"/>
              <w:rPr>
                <w:color w:val="000000"/>
                <w:sz w:val="20"/>
                <w:szCs w:val="20"/>
              </w:rPr>
            </w:pPr>
            <w:r w:rsidRPr="00824B1D">
              <w:rPr>
                <w:b/>
                <w:color w:val="000000"/>
                <w:sz w:val="20"/>
                <w:szCs w:val="20"/>
              </w:rPr>
              <w:t>6. Traffic infrastructure maintenance</w:t>
            </w:r>
          </w:p>
        </w:tc>
      </w:tr>
      <w:tr w:rsidR="00175050" w:rsidRPr="001051A3" w14:paraId="69506FE2" w14:textId="77777777" w:rsidTr="00257C69">
        <w:trPr>
          <w:trHeight w:val="334"/>
        </w:trPr>
        <w:tc>
          <w:tcPr>
            <w:tcW w:w="3240" w:type="dxa"/>
            <w:tcBorders>
              <w:top w:val="nil"/>
              <w:left w:val="single" w:sz="4" w:space="0" w:color="auto"/>
              <w:bottom w:val="single" w:sz="4" w:space="0" w:color="auto"/>
              <w:right w:val="nil"/>
            </w:tcBorders>
            <w:shd w:val="clear" w:color="auto" w:fill="auto"/>
            <w:vAlign w:val="center"/>
            <w:hideMark/>
          </w:tcPr>
          <w:p w14:paraId="1E04167D" w14:textId="48EDF62C" w:rsidR="00175050" w:rsidRPr="001051A3" w:rsidRDefault="00824B1D" w:rsidP="00901DF3">
            <w:pPr>
              <w:spacing w:line="480" w:lineRule="auto"/>
              <w:rPr>
                <w:color w:val="000000"/>
                <w:sz w:val="20"/>
                <w:szCs w:val="20"/>
              </w:rPr>
            </w:pPr>
            <w:r>
              <w:rPr>
                <w:color w:val="000000"/>
                <w:sz w:val="20"/>
                <w:szCs w:val="20"/>
              </w:rPr>
              <w:t xml:space="preserve">  </w:t>
            </w:r>
            <w:r w:rsidR="00175050" w:rsidRPr="001051A3">
              <w:rPr>
                <w:color w:val="000000"/>
                <w:sz w:val="20"/>
                <w:szCs w:val="20"/>
              </w:rPr>
              <w:t>Traffic infrastructure maintenance</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1DDF774E" w14:textId="48364D99" w:rsidR="00175050" w:rsidRPr="001051A3" w:rsidRDefault="00175050" w:rsidP="00901DF3">
            <w:pPr>
              <w:spacing w:line="480" w:lineRule="auto"/>
              <w:jc w:val="center"/>
              <w:rPr>
                <w:b/>
                <w:bCs/>
                <w:color w:val="000000"/>
                <w:sz w:val="20"/>
                <w:szCs w:val="20"/>
              </w:rPr>
            </w:pPr>
            <w:r>
              <w:rPr>
                <w:b/>
                <w:bCs/>
                <w:color w:val="000000"/>
                <w:sz w:val="20"/>
                <w:szCs w:val="20"/>
              </w:rPr>
              <w:t>0.004</w:t>
            </w:r>
          </w:p>
        </w:tc>
        <w:tc>
          <w:tcPr>
            <w:tcW w:w="880" w:type="dxa"/>
            <w:tcBorders>
              <w:top w:val="single" w:sz="4" w:space="0" w:color="auto"/>
              <w:left w:val="nil"/>
              <w:bottom w:val="single" w:sz="4" w:space="0" w:color="auto"/>
              <w:right w:val="nil"/>
            </w:tcBorders>
            <w:shd w:val="clear" w:color="auto" w:fill="auto"/>
            <w:vAlign w:val="center"/>
            <w:hideMark/>
          </w:tcPr>
          <w:p w14:paraId="20F0A02A" w14:textId="77777777" w:rsidR="00175050" w:rsidRPr="001051A3" w:rsidRDefault="00175050" w:rsidP="00901DF3">
            <w:pPr>
              <w:spacing w:line="480" w:lineRule="auto"/>
              <w:jc w:val="center"/>
              <w:rPr>
                <w:color w:val="000000"/>
                <w:sz w:val="20"/>
                <w:szCs w:val="20"/>
              </w:rPr>
            </w:pPr>
            <w:r w:rsidRPr="001051A3">
              <w:rPr>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4A3D20E8" w14:textId="664BC0CB" w:rsidR="00175050" w:rsidRPr="001051A3" w:rsidRDefault="00175050" w:rsidP="00901DF3">
            <w:pPr>
              <w:spacing w:line="480" w:lineRule="auto"/>
              <w:jc w:val="center"/>
              <w:rPr>
                <w:b/>
                <w:bCs/>
                <w:color w:val="000000"/>
                <w:sz w:val="20"/>
                <w:szCs w:val="20"/>
              </w:rPr>
            </w:pPr>
            <w:r>
              <w:rPr>
                <w:b/>
                <w:bCs/>
                <w:color w:val="000000"/>
                <w:sz w:val="20"/>
                <w:szCs w:val="20"/>
              </w:rPr>
              <w:t>&lt;</w:t>
            </w:r>
            <w:r w:rsidRPr="001051A3">
              <w:rPr>
                <w:b/>
                <w:bCs/>
                <w:color w:val="000000"/>
                <w:sz w:val="20"/>
                <w:szCs w:val="20"/>
              </w:rPr>
              <w:t>0.001</w:t>
            </w:r>
          </w:p>
        </w:tc>
        <w:tc>
          <w:tcPr>
            <w:tcW w:w="1019" w:type="dxa"/>
            <w:tcBorders>
              <w:top w:val="single" w:sz="4" w:space="0" w:color="auto"/>
              <w:left w:val="nil"/>
              <w:bottom w:val="single" w:sz="4" w:space="0" w:color="auto"/>
              <w:right w:val="nil"/>
            </w:tcBorders>
            <w:shd w:val="clear" w:color="auto" w:fill="auto"/>
            <w:vAlign w:val="center"/>
            <w:hideMark/>
          </w:tcPr>
          <w:p w14:paraId="26244038" w14:textId="77777777" w:rsidR="00175050" w:rsidRPr="001051A3" w:rsidRDefault="00175050" w:rsidP="00901DF3">
            <w:pPr>
              <w:spacing w:line="480" w:lineRule="auto"/>
              <w:jc w:val="center"/>
              <w:rPr>
                <w:color w:val="000000"/>
                <w:sz w:val="20"/>
                <w:szCs w:val="20"/>
              </w:rPr>
            </w:pPr>
            <w:r w:rsidRPr="001051A3">
              <w:rPr>
                <w:color w:val="000000"/>
                <w:sz w:val="20"/>
                <w:szCs w:val="20"/>
              </w:rPr>
              <w:t>0</w:t>
            </w:r>
          </w:p>
        </w:tc>
        <w:tc>
          <w:tcPr>
            <w:tcW w:w="891" w:type="dxa"/>
            <w:tcBorders>
              <w:top w:val="single" w:sz="4" w:space="0" w:color="auto"/>
              <w:bottom w:val="single" w:sz="4" w:space="0" w:color="auto"/>
            </w:tcBorders>
            <w:vAlign w:val="center"/>
          </w:tcPr>
          <w:p w14:paraId="57C07950" w14:textId="03302043" w:rsidR="00175050" w:rsidRPr="001051A3" w:rsidRDefault="00175050" w:rsidP="00901DF3">
            <w:pPr>
              <w:spacing w:line="480" w:lineRule="auto"/>
              <w:jc w:val="center"/>
            </w:pPr>
            <w:r>
              <w:rPr>
                <w:b/>
                <w:bCs/>
                <w:color w:val="000000"/>
                <w:sz w:val="20"/>
                <w:szCs w:val="20"/>
              </w:rPr>
              <w:t>&lt;</w:t>
            </w:r>
            <w:r w:rsidRPr="001051A3">
              <w:rPr>
                <w:b/>
                <w:bCs/>
                <w:color w:val="000000"/>
                <w:sz w:val="20"/>
                <w:szCs w:val="20"/>
              </w:rPr>
              <w:t>0.001</w:t>
            </w:r>
          </w:p>
        </w:tc>
        <w:tc>
          <w:tcPr>
            <w:tcW w:w="1148" w:type="dxa"/>
            <w:tcBorders>
              <w:top w:val="single" w:sz="4" w:space="0" w:color="auto"/>
              <w:bottom w:val="single" w:sz="4" w:space="0" w:color="auto"/>
              <w:right w:val="single" w:sz="4" w:space="0" w:color="auto"/>
            </w:tcBorders>
            <w:vAlign w:val="center"/>
          </w:tcPr>
          <w:p w14:paraId="0DFACB28" w14:textId="77777777" w:rsidR="00175050" w:rsidRPr="001051A3" w:rsidRDefault="00175050" w:rsidP="00901DF3">
            <w:pPr>
              <w:spacing w:line="480" w:lineRule="auto"/>
              <w:jc w:val="center"/>
            </w:pPr>
            <w:r w:rsidRPr="001051A3">
              <w:rPr>
                <w:color w:val="000000"/>
                <w:sz w:val="20"/>
                <w:szCs w:val="20"/>
              </w:rPr>
              <w:t>0</w:t>
            </w:r>
          </w:p>
        </w:tc>
      </w:tr>
      <w:tr w:rsidR="00824B1D" w:rsidRPr="001051A3" w14:paraId="6090E44F" w14:textId="44A95240" w:rsidTr="00257C69">
        <w:trPr>
          <w:trHeight w:val="300"/>
        </w:trPr>
        <w:tc>
          <w:tcPr>
            <w:tcW w:w="9152" w:type="dxa"/>
            <w:gridSpan w:val="7"/>
            <w:tcBorders>
              <w:top w:val="nil"/>
              <w:left w:val="single" w:sz="4" w:space="0" w:color="auto"/>
              <w:bottom w:val="single" w:sz="4" w:space="0" w:color="auto"/>
              <w:right w:val="single" w:sz="4" w:space="0" w:color="auto"/>
            </w:tcBorders>
            <w:shd w:val="clear" w:color="auto" w:fill="auto"/>
            <w:vAlign w:val="center"/>
            <w:hideMark/>
          </w:tcPr>
          <w:p w14:paraId="5FD4AEE3" w14:textId="3FB125FB" w:rsidR="00824B1D" w:rsidRPr="00824B1D" w:rsidRDefault="00824B1D" w:rsidP="00901DF3">
            <w:pPr>
              <w:spacing w:line="480" w:lineRule="auto"/>
              <w:rPr>
                <w:b/>
              </w:rPr>
            </w:pPr>
            <w:r w:rsidRPr="00824B1D">
              <w:rPr>
                <w:b/>
                <w:color w:val="000000"/>
                <w:sz w:val="20"/>
                <w:szCs w:val="20"/>
              </w:rPr>
              <w:t>7. Resource requirements</w:t>
            </w:r>
          </w:p>
        </w:tc>
      </w:tr>
      <w:tr w:rsidR="001B1C04" w:rsidRPr="001051A3" w14:paraId="31E64044" w14:textId="149AB949" w:rsidTr="00257C69">
        <w:trPr>
          <w:trHeight w:val="300"/>
        </w:trPr>
        <w:tc>
          <w:tcPr>
            <w:tcW w:w="3240" w:type="dxa"/>
            <w:tcBorders>
              <w:top w:val="nil"/>
              <w:left w:val="single" w:sz="4" w:space="0" w:color="auto"/>
              <w:bottom w:val="single" w:sz="4" w:space="0" w:color="auto"/>
              <w:right w:val="nil"/>
            </w:tcBorders>
            <w:shd w:val="clear" w:color="auto" w:fill="auto"/>
            <w:vAlign w:val="center"/>
            <w:hideMark/>
          </w:tcPr>
          <w:p w14:paraId="319386F0" w14:textId="7E16BA17" w:rsidR="001B1C04" w:rsidRPr="001051A3" w:rsidRDefault="00824B1D" w:rsidP="00901DF3">
            <w:pPr>
              <w:spacing w:line="480" w:lineRule="auto"/>
              <w:rPr>
                <w:color w:val="000000"/>
                <w:sz w:val="20"/>
                <w:szCs w:val="20"/>
              </w:rPr>
            </w:pPr>
            <w:r>
              <w:rPr>
                <w:color w:val="000000"/>
                <w:sz w:val="20"/>
                <w:szCs w:val="20"/>
              </w:rPr>
              <w:t xml:space="preserve">  </w:t>
            </w:r>
            <w:r w:rsidR="001B1C04" w:rsidRPr="001051A3">
              <w:rPr>
                <w:color w:val="000000"/>
                <w:sz w:val="20"/>
                <w:szCs w:val="20"/>
              </w:rPr>
              <w:t>Resource requirements</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03AC6FAC" w14:textId="051BDC32" w:rsidR="001B1C04" w:rsidRPr="001051A3" w:rsidRDefault="00D94727" w:rsidP="00901DF3">
            <w:pPr>
              <w:spacing w:line="480" w:lineRule="auto"/>
              <w:jc w:val="center"/>
              <w:rPr>
                <w:b/>
                <w:bCs/>
                <w:color w:val="000000"/>
                <w:sz w:val="20"/>
                <w:szCs w:val="20"/>
              </w:rPr>
            </w:pPr>
            <w:r>
              <w:rPr>
                <w:b/>
                <w:bCs/>
                <w:color w:val="000000"/>
                <w:sz w:val="20"/>
                <w:szCs w:val="20"/>
              </w:rPr>
              <w:t>0.007</w:t>
            </w:r>
          </w:p>
        </w:tc>
        <w:tc>
          <w:tcPr>
            <w:tcW w:w="880" w:type="dxa"/>
            <w:tcBorders>
              <w:top w:val="single" w:sz="4" w:space="0" w:color="auto"/>
              <w:left w:val="nil"/>
              <w:bottom w:val="single" w:sz="4" w:space="0" w:color="auto"/>
              <w:right w:val="nil"/>
            </w:tcBorders>
            <w:shd w:val="clear" w:color="auto" w:fill="auto"/>
            <w:vAlign w:val="center"/>
            <w:hideMark/>
          </w:tcPr>
          <w:p w14:paraId="0944BBBB"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0E71F52C" w14:textId="2D592187" w:rsidR="001B1C04" w:rsidRPr="001051A3" w:rsidRDefault="00D94727" w:rsidP="00901DF3">
            <w:pPr>
              <w:spacing w:line="480" w:lineRule="auto"/>
              <w:jc w:val="center"/>
              <w:rPr>
                <w:b/>
                <w:bCs/>
                <w:color w:val="000000"/>
                <w:sz w:val="20"/>
                <w:szCs w:val="20"/>
              </w:rPr>
            </w:pPr>
            <w:r>
              <w:rPr>
                <w:b/>
                <w:bCs/>
                <w:color w:val="000000"/>
                <w:sz w:val="20"/>
                <w:szCs w:val="20"/>
              </w:rPr>
              <w:t>&lt;</w:t>
            </w:r>
            <w:r w:rsidR="001B1C04" w:rsidRPr="001051A3">
              <w:rPr>
                <w:b/>
                <w:bCs/>
                <w:color w:val="000000"/>
                <w:sz w:val="20"/>
                <w:szCs w:val="20"/>
              </w:rPr>
              <w:t>0.00</w:t>
            </w:r>
            <w:r>
              <w:rPr>
                <w:b/>
                <w:bCs/>
                <w:color w:val="000000"/>
                <w:sz w:val="20"/>
                <w:szCs w:val="20"/>
              </w:rPr>
              <w:t>1</w:t>
            </w:r>
          </w:p>
        </w:tc>
        <w:tc>
          <w:tcPr>
            <w:tcW w:w="1019" w:type="dxa"/>
            <w:tcBorders>
              <w:top w:val="single" w:sz="4" w:space="0" w:color="auto"/>
              <w:left w:val="nil"/>
              <w:bottom w:val="single" w:sz="4" w:space="0" w:color="auto"/>
              <w:right w:val="nil"/>
            </w:tcBorders>
            <w:shd w:val="clear" w:color="auto" w:fill="auto"/>
            <w:vAlign w:val="center"/>
            <w:hideMark/>
          </w:tcPr>
          <w:p w14:paraId="44D75DC5"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891" w:type="dxa"/>
            <w:tcBorders>
              <w:top w:val="single" w:sz="4" w:space="0" w:color="auto"/>
              <w:bottom w:val="single" w:sz="4" w:space="0" w:color="auto"/>
            </w:tcBorders>
            <w:vAlign w:val="center"/>
          </w:tcPr>
          <w:p w14:paraId="0EC2EA4F" w14:textId="4F67F8B5" w:rsidR="001B1C04" w:rsidRPr="001051A3" w:rsidRDefault="00D94727" w:rsidP="00901DF3">
            <w:pPr>
              <w:spacing w:line="480" w:lineRule="auto"/>
              <w:jc w:val="center"/>
            </w:pPr>
            <w:r>
              <w:rPr>
                <w:b/>
                <w:bCs/>
                <w:color w:val="000000"/>
                <w:sz w:val="20"/>
                <w:szCs w:val="20"/>
              </w:rPr>
              <w:t>&lt;</w:t>
            </w:r>
            <w:r w:rsidR="001B1C04" w:rsidRPr="001051A3">
              <w:rPr>
                <w:b/>
                <w:bCs/>
                <w:color w:val="000000"/>
                <w:sz w:val="20"/>
                <w:szCs w:val="20"/>
              </w:rPr>
              <w:t>0.00</w:t>
            </w:r>
            <w:r>
              <w:rPr>
                <w:b/>
                <w:bCs/>
                <w:color w:val="000000"/>
                <w:sz w:val="20"/>
                <w:szCs w:val="20"/>
              </w:rPr>
              <w:t>1</w:t>
            </w:r>
          </w:p>
        </w:tc>
        <w:tc>
          <w:tcPr>
            <w:tcW w:w="1148" w:type="dxa"/>
            <w:tcBorders>
              <w:top w:val="single" w:sz="4" w:space="0" w:color="auto"/>
              <w:bottom w:val="single" w:sz="4" w:space="0" w:color="auto"/>
              <w:right w:val="single" w:sz="4" w:space="0" w:color="auto"/>
            </w:tcBorders>
            <w:vAlign w:val="center"/>
          </w:tcPr>
          <w:p w14:paraId="66A3826F" w14:textId="218C0F6C" w:rsidR="001B1C04" w:rsidRPr="001051A3" w:rsidRDefault="001B1C04" w:rsidP="00901DF3">
            <w:pPr>
              <w:spacing w:line="480" w:lineRule="auto"/>
              <w:jc w:val="center"/>
            </w:pPr>
            <w:r w:rsidRPr="001051A3">
              <w:rPr>
                <w:color w:val="000000"/>
                <w:sz w:val="20"/>
                <w:szCs w:val="20"/>
              </w:rPr>
              <w:t>0</w:t>
            </w:r>
          </w:p>
        </w:tc>
      </w:tr>
      <w:tr w:rsidR="00824B1D" w:rsidRPr="001051A3" w14:paraId="0B850C0D" w14:textId="77777777" w:rsidTr="00257C69">
        <w:trPr>
          <w:trHeight w:val="300"/>
        </w:trPr>
        <w:tc>
          <w:tcPr>
            <w:tcW w:w="4225" w:type="dxa"/>
            <w:gridSpan w:val="2"/>
            <w:tcBorders>
              <w:top w:val="nil"/>
              <w:left w:val="single" w:sz="4" w:space="0" w:color="auto"/>
              <w:bottom w:val="single" w:sz="4" w:space="0" w:color="auto"/>
              <w:right w:val="nil"/>
            </w:tcBorders>
            <w:shd w:val="clear" w:color="auto" w:fill="auto"/>
            <w:vAlign w:val="center"/>
          </w:tcPr>
          <w:p w14:paraId="5F902152" w14:textId="2BBCAE82" w:rsidR="00824B1D" w:rsidRPr="00824B1D" w:rsidRDefault="00824B1D" w:rsidP="00901DF3">
            <w:pPr>
              <w:spacing w:line="480" w:lineRule="auto"/>
              <w:rPr>
                <w:b/>
                <w:color w:val="000000"/>
                <w:sz w:val="20"/>
                <w:szCs w:val="20"/>
              </w:rPr>
            </w:pPr>
            <w:r w:rsidRPr="00824B1D">
              <w:rPr>
                <w:b/>
                <w:color w:val="000000"/>
                <w:sz w:val="20"/>
                <w:szCs w:val="20"/>
              </w:rPr>
              <w:t>8. Vehicle operation</w:t>
            </w:r>
          </w:p>
        </w:tc>
        <w:tc>
          <w:tcPr>
            <w:tcW w:w="880" w:type="dxa"/>
            <w:tcBorders>
              <w:top w:val="single" w:sz="4" w:space="0" w:color="auto"/>
              <w:left w:val="nil"/>
              <w:bottom w:val="single" w:sz="4" w:space="0" w:color="auto"/>
              <w:right w:val="nil"/>
            </w:tcBorders>
            <w:shd w:val="clear" w:color="auto" w:fill="auto"/>
            <w:vAlign w:val="center"/>
          </w:tcPr>
          <w:p w14:paraId="375B1FF4" w14:textId="77777777" w:rsidR="00824B1D" w:rsidRPr="001051A3" w:rsidRDefault="00824B1D" w:rsidP="00901DF3">
            <w:pPr>
              <w:spacing w:line="480" w:lineRule="auto"/>
              <w:jc w:val="center"/>
              <w:rPr>
                <w:b/>
                <w:bCs/>
                <w:color w:val="000000"/>
                <w:sz w:val="20"/>
                <w:szCs w:val="20"/>
              </w:rPr>
            </w:pPr>
          </w:p>
        </w:tc>
        <w:tc>
          <w:tcPr>
            <w:tcW w:w="985" w:type="dxa"/>
            <w:tcBorders>
              <w:top w:val="single" w:sz="4" w:space="0" w:color="auto"/>
              <w:left w:val="nil"/>
              <w:bottom w:val="single" w:sz="4" w:space="0" w:color="auto"/>
              <w:right w:val="nil"/>
            </w:tcBorders>
            <w:shd w:val="clear" w:color="auto" w:fill="auto"/>
            <w:vAlign w:val="center"/>
          </w:tcPr>
          <w:p w14:paraId="3DE5B353" w14:textId="77777777" w:rsidR="00824B1D" w:rsidRPr="001051A3" w:rsidRDefault="00824B1D" w:rsidP="00901DF3">
            <w:pPr>
              <w:spacing w:line="480" w:lineRule="auto"/>
              <w:jc w:val="center"/>
              <w:rPr>
                <w:color w:val="000000"/>
                <w:sz w:val="20"/>
                <w:szCs w:val="20"/>
              </w:rPr>
            </w:pPr>
          </w:p>
        </w:tc>
        <w:tc>
          <w:tcPr>
            <w:tcW w:w="1019" w:type="dxa"/>
            <w:tcBorders>
              <w:top w:val="single" w:sz="4" w:space="0" w:color="auto"/>
              <w:left w:val="nil"/>
              <w:bottom w:val="single" w:sz="4" w:space="0" w:color="auto"/>
              <w:right w:val="nil"/>
            </w:tcBorders>
            <w:shd w:val="clear" w:color="auto" w:fill="auto"/>
            <w:vAlign w:val="center"/>
          </w:tcPr>
          <w:p w14:paraId="301D4F45" w14:textId="77777777" w:rsidR="00824B1D" w:rsidRPr="001051A3" w:rsidRDefault="00824B1D" w:rsidP="00901DF3">
            <w:pPr>
              <w:spacing w:line="480" w:lineRule="auto"/>
              <w:jc w:val="center"/>
              <w:rPr>
                <w:b/>
                <w:bCs/>
                <w:color w:val="000000"/>
                <w:sz w:val="20"/>
                <w:szCs w:val="20"/>
              </w:rPr>
            </w:pPr>
          </w:p>
        </w:tc>
        <w:tc>
          <w:tcPr>
            <w:tcW w:w="891" w:type="dxa"/>
            <w:tcBorders>
              <w:top w:val="single" w:sz="4" w:space="0" w:color="auto"/>
              <w:bottom w:val="single" w:sz="4" w:space="0" w:color="auto"/>
            </w:tcBorders>
            <w:vAlign w:val="center"/>
          </w:tcPr>
          <w:p w14:paraId="6F76D4EB" w14:textId="77777777" w:rsidR="00824B1D" w:rsidRPr="001051A3" w:rsidRDefault="00824B1D" w:rsidP="00901DF3">
            <w:pPr>
              <w:spacing w:line="480" w:lineRule="auto"/>
              <w:jc w:val="center"/>
              <w:rPr>
                <w:color w:val="000000"/>
                <w:sz w:val="20"/>
                <w:szCs w:val="20"/>
              </w:rPr>
            </w:pPr>
          </w:p>
        </w:tc>
        <w:tc>
          <w:tcPr>
            <w:tcW w:w="1148" w:type="dxa"/>
            <w:tcBorders>
              <w:top w:val="single" w:sz="4" w:space="0" w:color="auto"/>
              <w:bottom w:val="single" w:sz="4" w:space="0" w:color="auto"/>
              <w:right w:val="single" w:sz="4" w:space="0" w:color="auto"/>
            </w:tcBorders>
            <w:vAlign w:val="center"/>
          </w:tcPr>
          <w:p w14:paraId="3CD326D2" w14:textId="77777777" w:rsidR="00824B1D" w:rsidRPr="001051A3" w:rsidRDefault="00824B1D" w:rsidP="00901DF3">
            <w:pPr>
              <w:spacing w:line="480" w:lineRule="auto"/>
              <w:jc w:val="center"/>
              <w:rPr>
                <w:b/>
                <w:bCs/>
                <w:color w:val="000000"/>
                <w:sz w:val="20"/>
                <w:szCs w:val="20"/>
              </w:rPr>
            </w:pPr>
          </w:p>
        </w:tc>
      </w:tr>
      <w:tr w:rsidR="001B1C04" w:rsidRPr="001051A3" w14:paraId="0D0C213E" w14:textId="48A712E1" w:rsidTr="00257C69">
        <w:trPr>
          <w:trHeight w:val="300"/>
        </w:trPr>
        <w:tc>
          <w:tcPr>
            <w:tcW w:w="3240" w:type="dxa"/>
            <w:tcBorders>
              <w:top w:val="nil"/>
              <w:left w:val="single" w:sz="4" w:space="0" w:color="auto"/>
              <w:bottom w:val="single" w:sz="4" w:space="0" w:color="auto"/>
              <w:right w:val="nil"/>
            </w:tcBorders>
            <w:shd w:val="clear" w:color="auto" w:fill="auto"/>
            <w:vAlign w:val="center"/>
            <w:hideMark/>
          </w:tcPr>
          <w:p w14:paraId="727862B1" w14:textId="14939DBB" w:rsidR="001B1C04" w:rsidRPr="001051A3" w:rsidRDefault="00824B1D" w:rsidP="00901DF3">
            <w:pPr>
              <w:spacing w:line="480" w:lineRule="auto"/>
              <w:rPr>
                <w:color w:val="000000"/>
                <w:sz w:val="20"/>
                <w:szCs w:val="20"/>
              </w:rPr>
            </w:pPr>
            <w:r>
              <w:rPr>
                <w:color w:val="000000"/>
                <w:sz w:val="20"/>
                <w:szCs w:val="20"/>
              </w:rPr>
              <w:t xml:space="preserve">  V</w:t>
            </w:r>
            <w:r w:rsidR="001B1C04" w:rsidRPr="001051A3">
              <w:rPr>
                <w:color w:val="000000"/>
                <w:sz w:val="20"/>
                <w:szCs w:val="20"/>
              </w:rPr>
              <w:t>ehicle operation</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0F6F1724"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880" w:type="dxa"/>
            <w:tcBorders>
              <w:top w:val="single" w:sz="4" w:space="0" w:color="auto"/>
              <w:left w:val="nil"/>
              <w:bottom w:val="single" w:sz="4" w:space="0" w:color="auto"/>
              <w:right w:val="nil"/>
            </w:tcBorders>
            <w:shd w:val="clear" w:color="auto" w:fill="auto"/>
            <w:vAlign w:val="center"/>
            <w:hideMark/>
          </w:tcPr>
          <w:p w14:paraId="33D776DA" w14:textId="08F1760F" w:rsidR="001B1C04" w:rsidRPr="001051A3" w:rsidRDefault="001B1C04" w:rsidP="00901DF3">
            <w:pPr>
              <w:spacing w:line="480" w:lineRule="auto"/>
              <w:jc w:val="center"/>
              <w:rPr>
                <w:b/>
                <w:bCs/>
                <w:color w:val="000000"/>
                <w:sz w:val="20"/>
                <w:szCs w:val="20"/>
              </w:rPr>
            </w:pPr>
            <w:r w:rsidRPr="001051A3">
              <w:rPr>
                <w:b/>
                <w:bCs/>
                <w:color w:val="000000"/>
                <w:sz w:val="20"/>
                <w:szCs w:val="20"/>
              </w:rPr>
              <w:t>0.</w:t>
            </w:r>
            <w:r w:rsidR="00D94727">
              <w:rPr>
                <w:b/>
                <w:bCs/>
                <w:color w:val="000000"/>
                <w:sz w:val="20"/>
                <w:szCs w:val="20"/>
              </w:rPr>
              <w:t>250</w:t>
            </w:r>
          </w:p>
        </w:tc>
        <w:tc>
          <w:tcPr>
            <w:tcW w:w="985" w:type="dxa"/>
            <w:tcBorders>
              <w:top w:val="single" w:sz="4" w:space="0" w:color="auto"/>
              <w:left w:val="nil"/>
              <w:bottom w:val="single" w:sz="4" w:space="0" w:color="auto"/>
              <w:right w:val="nil"/>
            </w:tcBorders>
            <w:shd w:val="clear" w:color="auto" w:fill="auto"/>
            <w:vAlign w:val="center"/>
            <w:hideMark/>
          </w:tcPr>
          <w:p w14:paraId="0B5A508F"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1019" w:type="dxa"/>
            <w:tcBorders>
              <w:top w:val="single" w:sz="4" w:space="0" w:color="auto"/>
              <w:left w:val="nil"/>
              <w:bottom w:val="single" w:sz="4" w:space="0" w:color="auto"/>
              <w:right w:val="nil"/>
            </w:tcBorders>
            <w:shd w:val="clear" w:color="auto" w:fill="auto"/>
            <w:vAlign w:val="center"/>
            <w:hideMark/>
          </w:tcPr>
          <w:p w14:paraId="22D1365F" w14:textId="7DA22A38" w:rsidR="001B1C04" w:rsidRPr="001051A3" w:rsidRDefault="001B1C04" w:rsidP="00901DF3">
            <w:pPr>
              <w:spacing w:line="480" w:lineRule="auto"/>
              <w:jc w:val="center"/>
              <w:rPr>
                <w:b/>
                <w:bCs/>
                <w:color w:val="000000"/>
                <w:sz w:val="20"/>
                <w:szCs w:val="20"/>
              </w:rPr>
            </w:pPr>
            <w:r w:rsidRPr="001051A3">
              <w:rPr>
                <w:b/>
                <w:bCs/>
                <w:color w:val="000000"/>
                <w:sz w:val="20"/>
                <w:szCs w:val="20"/>
              </w:rPr>
              <w:t>0.</w:t>
            </w:r>
            <w:r w:rsidR="00D94727">
              <w:rPr>
                <w:b/>
                <w:bCs/>
                <w:color w:val="000000"/>
                <w:sz w:val="20"/>
                <w:szCs w:val="20"/>
              </w:rPr>
              <w:t>047</w:t>
            </w:r>
          </w:p>
        </w:tc>
        <w:tc>
          <w:tcPr>
            <w:tcW w:w="891" w:type="dxa"/>
            <w:tcBorders>
              <w:top w:val="single" w:sz="4" w:space="0" w:color="auto"/>
              <w:bottom w:val="single" w:sz="4" w:space="0" w:color="auto"/>
            </w:tcBorders>
            <w:vAlign w:val="center"/>
          </w:tcPr>
          <w:p w14:paraId="4C8C12E3" w14:textId="5FB67CC2" w:rsidR="001B1C04" w:rsidRPr="001051A3" w:rsidRDefault="001B1C04" w:rsidP="00901DF3">
            <w:pPr>
              <w:spacing w:line="480" w:lineRule="auto"/>
              <w:jc w:val="center"/>
            </w:pPr>
            <w:r w:rsidRPr="001051A3">
              <w:rPr>
                <w:color w:val="000000"/>
                <w:sz w:val="20"/>
                <w:szCs w:val="20"/>
              </w:rPr>
              <w:t>0</w:t>
            </w:r>
          </w:p>
        </w:tc>
        <w:tc>
          <w:tcPr>
            <w:tcW w:w="1148" w:type="dxa"/>
            <w:tcBorders>
              <w:top w:val="single" w:sz="4" w:space="0" w:color="auto"/>
              <w:bottom w:val="single" w:sz="4" w:space="0" w:color="auto"/>
              <w:right w:val="single" w:sz="4" w:space="0" w:color="auto"/>
            </w:tcBorders>
            <w:vAlign w:val="center"/>
          </w:tcPr>
          <w:p w14:paraId="34BD5D71" w14:textId="29285490" w:rsidR="001B1C04" w:rsidRPr="001051A3" w:rsidRDefault="001B1C04" w:rsidP="00901DF3">
            <w:pPr>
              <w:spacing w:line="480" w:lineRule="auto"/>
              <w:jc w:val="center"/>
            </w:pPr>
            <w:r w:rsidRPr="001051A3">
              <w:rPr>
                <w:b/>
                <w:bCs/>
                <w:color w:val="000000"/>
                <w:sz w:val="20"/>
                <w:szCs w:val="20"/>
              </w:rPr>
              <w:t>0.</w:t>
            </w:r>
            <w:r w:rsidR="00D94727">
              <w:rPr>
                <w:b/>
                <w:bCs/>
                <w:color w:val="000000"/>
                <w:sz w:val="20"/>
                <w:szCs w:val="20"/>
              </w:rPr>
              <w:t>041</w:t>
            </w:r>
          </w:p>
        </w:tc>
      </w:tr>
      <w:tr w:rsidR="003440DE" w:rsidRPr="001051A3" w14:paraId="0FD722FC" w14:textId="77777777" w:rsidTr="00257C69">
        <w:trPr>
          <w:trHeight w:val="300"/>
        </w:trPr>
        <w:tc>
          <w:tcPr>
            <w:tcW w:w="9152" w:type="dxa"/>
            <w:gridSpan w:val="7"/>
            <w:tcBorders>
              <w:top w:val="nil"/>
              <w:left w:val="single" w:sz="4" w:space="0" w:color="auto"/>
              <w:bottom w:val="single" w:sz="4" w:space="0" w:color="auto"/>
              <w:right w:val="single" w:sz="4" w:space="0" w:color="auto"/>
            </w:tcBorders>
            <w:shd w:val="clear" w:color="auto" w:fill="auto"/>
            <w:vAlign w:val="center"/>
          </w:tcPr>
          <w:p w14:paraId="74522EB7" w14:textId="41620889" w:rsidR="003440DE" w:rsidRPr="003440DE" w:rsidRDefault="003440DE" w:rsidP="00901DF3">
            <w:pPr>
              <w:spacing w:line="480" w:lineRule="auto"/>
              <w:rPr>
                <w:b/>
                <w:bCs/>
                <w:color w:val="000000"/>
                <w:sz w:val="20"/>
                <w:szCs w:val="20"/>
              </w:rPr>
            </w:pPr>
            <w:r w:rsidRPr="003440DE">
              <w:rPr>
                <w:b/>
                <w:color w:val="000000"/>
                <w:sz w:val="20"/>
                <w:szCs w:val="20"/>
              </w:rPr>
              <w:t>9. Travel time</w:t>
            </w:r>
          </w:p>
        </w:tc>
      </w:tr>
      <w:tr w:rsidR="001B1C04" w:rsidRPr="001051A3" w14:paraId="154FF9F4" w14:textId="196DC7BA" w:rsidTr="00257C69">
        <w:trPr>
          <w:trHeight w:val="300"/>
        </w:trPr>
        <w:tc>
          <w:tcPr>
            <w:tcW w:w="3240" w:type="dxa"/>
            <w:tcBorders>
              <w:top w:val="nil"/>
              <w:left w:val="single" w:sz="4" w:space="0" w:color="auto"/>
              <w:bottom w:val="single" w:sz="4" w:space="0" w:color="auto"/>
              <w:right w:val="nil"/>
            </w:tcBorders>
            <w:shd w:val="clear" w:color="auto" w:fill="auto"/>
            <w:vAlign w:val="center"/>
            <w:hideMark/>
          </w:tcPr>
          <w:p w14:paraId="2564081D" w14:textId="68EE5898" w:rsidR="001B1C04" w:rsidRPr="001051A3" w:rsidRDefault="003440DE" w:rsidP="00901DF3">
            <w:pPr>
              <w:spacing w:line="480" w:lineRule="auto"/>
              <w:rPr>
                <w:color w:val="000000"/>
                <w:sz w:val="20"/>
                <w:szCs w:val="20"/>
              </w:rPr>
            </w:pPr>
            <w:r>
              <w:rPr>
                <w:color w:val="000000"/>
                <w:sz w:val="20"/>
                <w:szCs w:val="20"/>
              </w:rPr>
              <w:lastRenderedPageBreak/>
              <w:t xml:space="preserve">  </w:t>
            </w:r>
            <w:r w:rsidR="001B1C04" w:rsidRPr="001051A3">
              <w:rPr>
                <w:color w:val="000000"/>
                <w:sz w:val="20"/>
                <w:szCs w:val="20"/>
              </w:rPr>
              <w:t>Travel time</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09980A0B"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880" w:type="dxa"/>
            <w:tcBorders>
              <w:top w:val="single" w:sz="4" w:space="0" w:color="auto"/>
              <w:left w:val="nil"/>
              <w:bottom w:val="single" w:sz="4" w:space="0" w:color="auto"/>
              <w:right w:val="nil"/>
            </w:tcBorders>
            <w:shd w:val="clear" w:color="auto" w:fill="auto"/>
            <w:vAlign w:val="center"/>
            <w:hideMark/>
          </w:tcPr>
          <w:p w14:paraId="28C602BE" w14:textId="15B30190" w:rsidR="001B1C04" w:rsidRPr="001051A3" w:rsidRDefault="00D94727" w:rsidP="00901DF3">
            <w:pPr>
              <w:spacing w:line="480" w:lineRule="auto"/>
              <w:jc w:val="center"/>
              <w:rPr>
                <w:b/>
                <w:bCs/>
                <w:color w:val="000000"/>
                <w:sz w:val="20"/>
                <w:szCs w:val="20"/>
              </w:rPr>
            </w:pPr>
            <w:r>
              <w:rPr>
                <w:b/>
                <w:bCs/>
                <w:color w:val="000000"/>
                <w:sz w:val="20"/>
                <w:szCs w:val="20"/>
              </w:rPr>
              <w:t>0.253</w:t>
            </w:r>
          </w:p>
        </w:tc>
        <w:tc>
          <w:tcPr>
            <w:tcW w:w="985" w:type="dxa"/>
            <w:tcBorders>
              <w:top w:val="single" w:sz="4" w:space="0" w:color="auto"/>
              <w:left w:val="nil"/>
              <w:bottom w:val="single" w:sz="4" w:space="0" w:color="auto"/>
              <w:right w:val="nil"/>
            </w:tcBorders>
            <w:shd w:val="clear" w:color="auto" w:fill="auto"/>
            <w:vAlign w:val="center"/>
            <w:hideMark/>
          </w:tcPr>
          <w:p w14:paraId="48E47346"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1019" w:type="dxa"/>
            <w:tcBorders>
              <w:top w:val="single" w:sz="4" w:space="0" w:color="auto"/>
              <w:left w:val="nil"/>
              <w:bottom w:val="single" w:sz="4" w:space="0" w:color="auto"/>
              <w:right w:val="nil"/>
            </w:tcBorders>
            <w:shd w:val="clear" w:color="auto" w:fill="auto"/>
            <w:vAlign w:val="center"/>
            <w:hideMark/>
          </w:tcPr>
          <w:p w14:paraId="7F2710A1" w14:textId="7CD0B24B" w:rsidR="001B1C04" w:rsidRPr="001051A3" w:rsidRDefault="00D94727" w:rsidP="00901DF3">
            <w:pPr>
              <w:spacing w:line="480" w:lineRule="auto"/>
              <w:jc w:val="center"/>
              <w:rPr>
                <w:b/>
                <w:bCs/>
                <w:color w:val="000000"/>
                <w:sz w:val="20"/>
                <w:szCs w:val="20"/>
              </w:rPr>
            </w:pPr>
            <w:r>
              <w:rPr>
                <w:b/>
                <w:bCs/>
                <w:color w:val="000000"/>
                <w:sz w:val="20"/>
                <w:szCs w:val="20"/>
              </w:rPr>
              <w:t>0.474</w:t>
            </w:r>
          </w:p>
        </w:tc>
        <w:tc>
          <w:tcPr>
            <w:tcW w:w="891" w:type="dxa"/>
            <w:tcBorders>
              <w:top w:val="single" w:sz="4" w:space="0" w:color="auto"/>
              <w:bottom w:val="single" w:sz="4" w:space="0" w:color="auto"/>
            </w:tcBorders>
            <w:vAlign w:val="center"/>
          </w:tcPr>
          <w:p w14:paraId="2393DBF3" w14:textId="471D2B5B" w:rsidR="001B1C04" w:rsidRPr="001051A3" w:rsidRDefault="001B1C04" w:rsidP="00901DF3">
            <w:pPr>
              <w:spacing w:line="480" w:lineRule="auto"/>
              <w:jc w:val="center"/>
            </w:pPr>
            <w:r w:rsidRPr="001051A3">
              <w:rPr>
                <w:color w:val="000000"/>
                <w:sz w:val="20"/>
                <w:szCs w:val="20"/>
              </w:rPr>
              <w:t>0</w:t>
            </w:r>
          </w:p>
        </w:tc>
        <w:tc>
          <w:tcPr>
            <w:tcW w:w="1148" w:type="dxa"/>
            <w:tcBorders>
              <w:top w:val="single" w:sz="4" w:space="0" w:color="auto"/>
              <w:bottom w:val="single" w:sz="4" w:space="0" w:color="auto"/>
              <w:right w:val="single" w:sz="4" w:space="0" w:color="auto"/>
            </w:tcBorders>
            <w:vAlign w:val="center"/>
          </w:tcPr>
          <w:p w14:paraId="7A69C7A6" w14:textId="7B18C5BE" w:rsidR="001B1C04" w:rsidRPr="001051A3" w:rsidRDefault="00D94727" w:rsidP="00901DF3">
            <w:pPr>
              <w:spacing w:line="480" w:lineRule="auto"/>
              <w:jc w:val="center"/>
            </w:pPr>
            <w:r>
              <w:rPr>
                <w:b/>
                <w:bCs/>
                <w:color w:val="000000"/>
                <w:sz w:val="20"/>
                <w:szCs w:val="20"/>
              </w:rPr>
              <w:t>1.264</w:t>
            </w:r>
          </w:p>
        </w:tc>
      </w:tr>
      <w:tr w:rsidR="003440DE" w:rsidRPr="001051A3" w14:paraId="6A045DAA" w14:textId="77777777" w:rsidTr="00257C69">
        <w:trPr>
          <w:trHeight w:val="300"/>
        </w:trPr>
        <w:tc>
          <w:tcPr>
            <w:tcW w:w="9152" w:type="dxa"/>
            <w:gridSpan w:val="7"/>
            <w:tcBorders>
              <w:top w:val="nil"/>
              <w:left w:val="single" w:sz="4" w:space="0" w:color="auto"/>
              <w:bottom w:val="nil"/>
              <w:right w:val="single" w:sz="4" w:space="0" w:color="auto"/>
            </w:tcBorders>
            <w:shd w:val="clear" w:color="auto" w:fill="auto"/>
            <w:vAlign w:val="center"/>
          </w:tcPr>
          <w:p w14:paraId="3BBA02A6" w14:textId="3EFAB9D2" w:rsidR="003440DE" w:rsidRPr="003440DE" w:rsidRDefault="003440DE" w:rsidP="00901DF3">
            <w:pPr>
              <w:spacing w:line="480" w:lineRule="auto"/>
              <w:rPr>
                <w:b/>
                <w:bCs/>
                <w:color w:val="000000"/>
                <w:sz w:val="20"/>
                <w:szCs w:val="20"/>
              </w:rPr>
            </w:pPr>
            <w:r w:rsidRPr="003440DE">
              <w:rPr>
                <w:b/>
                <w:color w:val="000000"/>
                <w:sz w:val="20"/>
                <w:szCs w:val="20"/>
              </w:rPr>
              <w:t>10. Congestion</w:t>
            </w:r>
          </w:p>
        </w:tc>
      </w:tr>
      <w:tr w:rsidR="001B1C04" w:rsidRPr="001051A3" w14:paraId="162D3D4D" w14:textId="584EBC08" w:rsidTr="00257C69">
        <w:trPr>
          <w:trHeight w:val="300"/>
        </w:trPr>
        <w:tc>
          <w:tcPr>
            <w:tcW w:w="3240" w:type="dxa"/>
            <w:tcBorders>
              <w:top w:val="single" w:sz="4" w:space="0" w:color="auto"/>
              <w:left w:val="single" w:sz="4" w:space="0" w:color="auto"/>
              <w:bottom w:val="single" w:sz="4" w:space="0" w:color="auto"/>
              <w:right w:val="nil"/>
            </w:tcBorders>
            <w:shd w:val="clear" w:color="auto" w:fill="auto"/>
            <w:vAlign w:val="center"/>
            <w:hideMark/>
          </w:tcPr>
          <w:p w14:paraId="3834B60C" w14:textId="25722FF0" w:rsidR="001B1C04" w:rsidRPr="001051A3" w:rsidRDefault="003440DE" w:rsidP="00901DF3">
            <w:pPr>
              <w:spacing w:line="480" w:lineRule="auto"/>
              <w:rPr>
                <w:color w:val="000000"/>
                <w:sz w:val="20"/>
                <w:szCs w:val="20"/>
              </w:rPr>
            </w:pPr>
            <w:r>
              <w:rPr>
                <w:color w:val="000000"/>
                <w:sz w:val="20"/>
                <w:szCs w:val="20"/>
              </w:rPr>
              <w:t xml:space="preserve">  </w:t>
            </w:r>
            <w:r w:rsidR="001B1C04" w:rsidRPr="001051A3">
              <w:rPr>
                <w:color w:val="000000"/>
                <w:sz w:val="20"/>
                <w:szCs w:val="20"/>
              </w:rPr>
              <w:t>Congestion</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5938AADF"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880" w:type="dxa"/>
            <w:tcBorders>
              <w:top w:val="single" w:sz="4" w:space="0" w:color="auto"/>
              <w:left w:val="nil"/>
              <w:bottom w:val="single" w:sz="4" w:space="0" w:color="auto"/>
              <w:right w:val="nil"/>
            </w:tcBorders>
            <w:shd w:val="clear" w:color="auto" w:fill="auto"/>
            <w:vAlign w:val="center"/>
            <w:hideMark/>
          </w:tcPr>
          <w:p w14:paraId="6E0015E9" w14:textId="34FC5420" w:rsidR="001B1C04" w:rsidRPr="001051A3" w:rsidRDefault="00D94727" w:rsidP="00901DF3">
            <w:pPr>
              <w:spacing w:line="480" w:lineRule="auto"/>
              <w:jc w:val="center"/>
              <w:rPr>
                <w:b/>
                <w:bCs/>
                <w:color w:val="000000"/>
                <w:sz w:val="20"/>
                <w:szCs w:val="20"/>
              </w:rPr>
            </w:pPr>
            <w:r>
              <w:rPr>
                <w:b/>
                <w:bCs/>
                <w:color w:val="000000"/>
                <w:sz w:val="20"/>
                <w:szCs w:val="20"/>
              </w:rPr>
              <w:t>0.355</w:t>
            </w:r>
          </w:p>
        </w:tc>
        <w:tc>
          <w:tcPr>
            <w:tcW w:w="985" w:type="dxa"/>
            <w:tcBorders>
              <w:top w:val="single" w:sz="4" w:space="0" w:color="auto"/>
              <w:left w:val="nil"/>
              <w:bottom w:val="single" w:sz="4" w:space="0" w:color="auto"/>
              <w:right w:val="nil"/>
            </w:tcBorders>
            <w:shd w:val="clear" w:color="auto" w:fill="auto"/>
            <w:vAlign w:val="center"/>
            <w:hideMark/>
          </w:tcPr>
          <w:p w14:paraId="2CD80423"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1019" w:type="dxa"/>
            <w:tcBorders>
              <w:top w:val="single" w:sz="4" w:space="0" w:color="auto"/>
              <w:left w:val="nil"/>
              <w:bottom w:val="single" w:sz="4" w:space="0" w:color="auto"/>
              <w:right w:val="nil"/>
            </w:tcBorders>
            <w:shd w:val="clear" w:color="auto" w:fill="auto"/>
            <w:vAlign w:val="center"/>
            <w:hideMark/>
          </w:tcPr>
          <w:p w14:paraId="7623867B" w14:textId="0F9F7D9C" w:rsidR="001B1C04" w:rsidRPr="001051A3" w:rsidRDefault="00D94727" w:rsidP="00901DF3">
            <w:pPr>
              <w:spacing w:line="480" w:lineRule="auto"/>
              <w:jc w:val="center"/>
              <w:rPr>
                <w:b/>
                <w:bCs/>
                <w:color w:val="000000"/>
                <w:sz w:val="20"/>
                <w:szCs w:val="20"/>
              </w:rPr>
            </w:pPr>
            <w:r>
              <w:rPr>
                <w:b/>
                <w:bCs/>
                <w:color w:val="000000"/>
                <w:sz w:val="20"/>
                <w:szCs w:val="20"/>
              </w:rPr>
              <w:t>&lt;</w:t>
            </w:r>
            <w:r w:rsidR="001B1C04" w:rsidRPr="001051A3">
              <w:rPr>
                <w:b/>
                <w:bCs/>
                <w:color w:val="000000"/>
                <w:sz w:val="20"/>
                <w:szCs w:val="20"/>
              </w:rPr>
              <w:t>0.00</w:t>
            </w:r>
            <w:r>
              <w:rPr>
                <w:b/>
                <w:bCs/>
                <w:color w:val="000000"/>
                <w:sz w:val="20"/>
                <w:szCs w:val="20"/>
              </w:rPr>
              <w:t>1</w:t>
            </w:r>
          </w:p>
        </w:tc>
        <w:tc>
          <w:tcPr>
            <w:tcW w:w="891" w:type="dxa"/>
            <w:tcBorders>
              <w:top w:val="single" w:sz="4" w:space="0" w:color="auto"/>
              <w:bottom w:val="single" w:sz="4" w:space="0" w:color="auto"/>
            </w:tcBorders>
            <w:vAlign w:val="center"/>
          </w:tcPr>
          <w:p w14:paraId="5F906E9F" w14:textId="298105EA" w:rsidR="001B1C04" w:rsidRPr="001051A3" w:rsidRDefault="001B1C04" w:rsidP="00901DF3">
            <w:pPr>
              <w:spacing w:line="480" w:lineRule="auto"/>
              <w:jc w:val="center"/>
            </w:pPr>
            <w:r w:rsidRPr="001051A3">
              <w:rPr>
                <w:color w:val="000000"/>
                <w:sz w:val="20"/>
                <w:szCs w:val="20"/>
              </w:rPr>
              <w:t>0</w:t>
            </w:r>
          </w:p>
        </w:tc>
        <w:tc>
          <w:tcPr>
            <w:tcW w:w="1148" w:type="dxa"/>
            <w:tcBorders>
              <w:top w:val="single" w:sz="4" w:space="0" w:color="auto"/>
              <w:bottom w:val="single" w:sz="4" w:space="0" w:color="auto"/>
              <w:right w:val="single" w:sz="4" w:space="0" w:color="auto"/>
            </w:tcBorders>
            <w:vAlign w:val="center"/>
          </w:tcPr>
          <w:p w14:paraId="42F0C34C" w14:textId="1B260FC5" w:rsidR="001B1C04" w:rsidRPr="001051A3" w:rsidRDefault="00D94727" w:rsidP="00901DF3">
            <w:pPr>
              <w:spacing w:line="480" w:lineRule="auto"/>
              <w:jc w:val="center"/>
            </w:pPr>
            <w:r>
              <w:rPr>
                <w:b/>
                <w:bCs/>
                <w:color w:val="000000"/>
                <w:sz w:val="20"/>
                <w:szCs w:val="20"/>
              </w:rPr>
              <w:t>&lt;</w:t>
            </w:r>
            <w:r w:rsidR="001B1C04" w:rsidRPr="001051A3">
              <w:rPr>
                <w:b/>
                <w:bCs/>
                <w:color w:val="000000"/>
                <w:sz w:val="20"/>
                <w:szCs w:val="20"/>
              </w:rPr>
              <w:t>0.00</w:t>
            </w:r>
            <w:r>
              <w:rPr>
                <w:b/>
                <w:bCs/>
                <w:color w:val="000000"/>
                <w:sz w:val="20"/>
                <w:szCs w:val="20"/>
              </w:rPr>
              <w:t>1</w:t>
            </w:r>
          </w:p>
        </w:tc>
      </w:tr>
      <w:tr w:rsidR="001B1C04" w:rsidRPr="001051A3" w14:paraId="37107761" w14:textId="27B74361" w:rsidTr="00257C69">
        <w:trPr>
          <w:trHeight w:val="300"/>
        </w:trPr>
        <w:tc>
          <w:tcPr>
            <w:tcW w:w="3240" w:type="dxa"/>
            <w:tcBorders>
              <w:top w:val="single" w:sz="4" w:space="0" w:color="auto"/>
              <w:left w:val="single" w:sz="4" w:space="0" w:color="auto"/>
              <w:bottom w:val="single" w:sz="4" w:space="0" w:color="auto"/>
              <w:right w:val="nil"/>
            </w:tcBorders>
            <w:shd w:val="clear" w:color="auto" w:fill="auto"/>
            <w:vAlign w:val="center"/>
            <w:hideMark/>
          </w:tcPr>
          <w:p w14:paraId="609569D2" w14:textId="28A5D6C4" w:rsidR="001B1C04" w:rsidRPr="001051A3" w:rsidRDefault="003440DE" w:rsidP="00901DF3">
            <w:pPr>
              <w:spacing w:line="480" w:lineRule="auto"/>
              <w:rPr>
                <w:color w:val="000000"/>
                <w:sz w:val="20"/>
                <w:szCs w:val="20"/>
              </w:rPr>
            </w:pPr>
            <w:r>
              <w:rPr>
                <w:color w:val="000000"/>
                <w:sz w:val="20"/>
                <w:szCs w:val="20"/>
              </w:rPr>
              <w:t xml:space="preserve">  </w:t>
            </w:r>
            <w:r w:rsidR="001B1C04" w:rsidRPr="001051A3">
              <w:rPr>
                <w:color w:val="000000"/>
                <w:sz w:val="20"/>
                <w:szCs w:val="20"/>
              </w:rPr>
              <w:t>Barrier effects</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5F0975A1"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880" w:type="dxa"/>
            <w:tcBorders>
              <w:top w:val="single" w:sz="4" w:space="0" w:color="auto"/>
              <w:left w:val="nil"/>
              <w:bottom w:val="single" w:sz="4" w:space="0" w:color="auto"/>
              <w:right w:val="nil"/>
            </w:tcBorders>
            <w:shd w:val="clear" w:color="auto" w:fill="auto"/>
            <w:vAlign w:val="center"/>
            <w:hideMark/>
          </w:tcPr>
          <w:p w14:paraId="08F28140" w14:textId="1EA071FC" w:rsidR="001B1C04" w:rsidRPr="001051A3" w:rsidRDefault="00D94727" w:rsidP="00901DF3">
            <w:pPr>
              <w:spacing w:line="480" w:lineRule="auto"/>
              <w:jc w:val="center"/>
              <w:rPr>
                <w:b/>
                <w:bCs/>
                <w:color w:val="000000"/>
                <w:sz w:val="20"/>
                <w:szCs w:val="20"/>
              </w:rPr>
            </w:pPr>
            <w:r>
              <w:rPr>
                <w:b/>
                <w:bCs/>
                <w:color w:val="000000"/>
                <w:sz w:val="20"/>
                <w:szCs w:val="20"/>
              </w:rPr>
              <w:t>0.005</w:t>
            </w:r>
          </w:p>
        </w:tc>
        <w:tc>
          <w:tcPr>
            <w:tcW w:w="985" w:type="dxa"/>
            <w:tcBorders>
              <w:top w:val="single" w:sz="4" w:space="0" w:color="auto"/>
              <w:left w:val="nil"/>
              <w:bottom w:val="single" w:sz="4" w:space="0" w:color="auto"/>
              <w:right w:val="nil"/>
            </w:tcBorders>
            <w:shd w:val="clear" w:color="auto" w:fill="auto"/>
            <w:vAlign w:val="center"/>
            <w:hideMark/>
          </w:tcPr>
          <w:p w14:paraId="10AB1331" w14:textId="77777777" w:rsidR="001B1C04" w:rsidRPr="001051A3" w:rsidRDefault="001B1C04" w:rsidP="00901DF3">
            <w:pPr>
              <w:spacing w:line="480" w:lineRule="auto"/>
              <w:jc w:val="center"/>
              <w:rPr>
                <w:color w:val="000000"/>
                <w:sz w:val="20"/>
                <w:szCs w:val="20"/>
              </w:rPr>
            </w:pPr>
            <w:r w:rsidRPr="001051A3">
              <w:rPr>
                <w:color w:val="000000"/>
                <w:sz w:val="20"/>
                <w:szCs w:val="20"/>
              </w:rPr>
              <w:t>0</w:t>
            </w:r>
          </w:p>
        </w:tc>
        <w:tc>
          <w:tcPr>
            <w:tcW w:w="1019" w:type="dxa"/>
            <w:tcBorders>
              <w:top w:val="single" w:sz="4" w:space="0" w:color="auto"/>
              <w:left w:val="nil"/>
              <w:bottom w:val="single" w:sz="4" w:space="0" w:color="auto"/>
              <w:right w:val="nil"/>
            </w:tcBorders>
            <w:shd w:val="clear" w:color="auto" w:fill="auto"/>
            <w:vAlign w:val="center"/>
            <w:hideMark/>
          </w:tcPr>
          <w:p w14:paraId="0E0C0443" w14:textId="74A28DC7" w:rsidR="001B1C04" w:rsidRPr="001051A3" w:rsidRDefault="00D94727" w:rsidP="00901DF3">
            <w:pPr>
              <w:spacing w:line="480" w:lineRule="auto"/>
              <w:jc w:val="center"/>
              <w:rPr>
                <w:b/>
                <w:bCs/>
                <w:color w:val="000000"/>
                <w:sz w:val="20"/>
                <w:szCs w:val="20"/>
              </w:rPr>
            </w:pPr>
            <w:r>
              <w:rPr>
                <w:b/>
                <w:bCs/>
                <w:color w:val="000000"/>
                <w:sz w:val="20"/>
                <w:szCs w:val="20"/>
              </w:rPr>
              <w:t>&lt;</w:t>
            </w:r>
            <w:r w:rsidR="001B1C04" w:rsidRPr="001051A3">
              <w:rPr>
                <w:b/>
                <w:bCs/>
                <w:color w:val="000000"/>
                <w:sz w:val="20"/>
                <w:szCs w:val="20"/>
              </w:rPr>
              <w:t>0.001</w:t>
            </w:r>
          </w:p>
        </w:tc>
        <w:tc>
          <w:tcPr>
            <w:tcW w:w="891" w:type="dxa"/>
            <w:tcBorders>
              <w:top w:val="single" w:sz="4" w:space="0" w:color="auto"/>
              <w:bottom w:val="single" w:sz="4" w:space="0" w:color="auto"/>
            </w:tcBorders>
            <w:vAlign w:val="center"/>
          </w:tcPr>
          <w:p w14:paraId="3CA0B283" w14:textId="508BA39F" w:rsidR="001B1C04" w:rsidRPr="001051A3" w:rsidRDefault="001B1C04" w:rsidP="00901DF3">
            <w:pPr>
              <w:spacing w:line="480" w:lineRule="auto"/>
              <w:jc w:val="center"/>
            </w:pPr>
            <w:r w:rsidRPr="001051A3">
              <w:rPr>
                <w:color w:val="000000"/>
                <w:sz w:val="20"/>
                <w:szCs w:val="20"/>
              </w:rPr>
              <w:t>0</w:t>
            </w:r>
          </w:p>
        </w:tc>
        <w:tc>
          <w:tcPr>
            <w:tcW w:w="1148" w:type="dxa"/>
            <w:tcBorders>
              <w:top w:val="single" w:sz="4" w:space="0" w:color="auto"/>
              <w:bottom w:val="single" w:sz="4" w:space="0" w:color="auto"/>
              <w:right w:val="single" w:sz="4" w:space="0" w:color="auto"/>
            </w:tcBorders>
            <w:vAlign w:val="center"/>
          </w:tcPr>
          <w:p w14:paraId="7BED0FFF" w14:textId="1E37B170" w:rsidR="001B1C04" w:rsidRPr="001051A3" w:rsidRDefault="00D94727" w:rsidP="00901DF3">
            <w:pPr>
              <w:spacing w:line="480" w:lineRule="auto"/>
              <w:jc w:val="center"/>
            </w:pPr>
            <w:r>
              <w:rPr>
                <w:b/>
                <w:bCs/>
                <w:color w:val="000000"/>
                <w:sz w:val="20"/>
                <w:szCs w:val="20"/>
              </w:rPr>
              <w:t>&lt;</w:t>
            </w:r>
            <w:r w:rsidR="001B1C04" w:rsidRPr="001051A3">
              <w:rPr>
                <w:b/>
                <w:bCs/>
                <w:color w:val="000000"/>
                <w:sz w:val="20"/>
                <w:szCs w:val="20"/>
              </w:rPr>
              <w:t>0.001</w:t>
            </w:r>
          </w:p>
        </w:tc>
      </w:tr>
      <w:tr w:rsidR="003440DE" w:rsidRPr="001051A3" w14:paraId="6F14BCA3" w14:textId="77777777" w:rsidTr="00257C69">
        <w:trPr>
          <w:trHeight w:val="300"/>
        </w:trPr>
        <w:tc>
          <w:tcPr>
            <w:tcW w:w="9152" w:type="dxa"/>
            <w:gridSpan w:val="7"/>
            <w:tcBorders>
              <w:top w:val="nil"/>
              <w:left w:val="single" w:sz="4" w:space="0" w:color="auto"/>
              <w:bottom w:val="nil"/>
              <w:right w:val="single" w:sz="4" w:space="0" w:color="auto"/>
            </w:tcBorders>
            <w:shd w:val="clear" w:color="auto" w:fill="auto"/>
            <w:vAlign w:val="center"/>
          </w:tcPr>
          <w:p w14:paraId="632DCCC0" w14:textId="3A8A2C7D" w:rsidR="003440DE" w:rsidRPr="00D94727" w:rsidRDefault="003440DE" w:rsidP="00901DF3">
            <w:pPr>
              <w:spacing w:line="480" w:lineRule="auto"/>
              <w:rPr>
                <w:b/>
                <w:color w:val="000000"/>
                <w:sz w:val="20"/>
                <w:szCs w:val="20"/>
              </w:rPr>
            </w:pPr>
            <w:r>
              <w:rPr>
                <w:b/>
                <w:color w:val="000000"/>
                <w:sz w:val="20"/>
                <w:szCs w:val="20"/>
              </w:rPr>
              <w:t>11. Health benefits</w:t>
            </w:r>
          </w:p>
        </w:tc>
      </w:tr>
      <w:tr w:rsidR="001B1C04" w:rsidRPr="001051A3" w14:paraId="1CDE2D5B" w14:textId="59754CC2" w:rsidTr="00257C69">
        <w:trPr>
          <w:trHeight w:val="300"/>
        </w:trPr>
        <w:tc>
          <w:tcPr>
            <w:tcW w:w="3240" w:type="dxa"/>
            <w:tcBorders>
              <w:top w:val="single" w:sz="4" w:space="0" w:color="auto"/>
              <w:left w:val="single" w:sz="4" w:space="0" w:color="auto"/>
              <w:bottom w:val="single" w:sz="4" w:space="0" w:color="auto"/>
              <w:right w:val="nil"/>
            </w:tcBorders>
            <w:shd w:val="clear" w:color="auto" w:fill="auto"/>
            <w:vAlign w:val="center"/>
            <w:hideMark/>
          </w:tcPr>
          <w:p w14:paraId="0DC09FBB" w14:textId="1DEFB790" w:rsidR="001B1C04" w:rsidRPr="001051A3" w:rsidRDefault="003440DE" w:rsidP="00901DF3">
            <w:pPr>
              <w:spacing w:line="480" w:lineRule="auto"/>
              <w:rPr>
                <w:color w:val="000000"/>
                <w:sz w:val="20"/>
                <w:szCs w:val="20"/>
              </w:rPr>
            </w:pPr>
            <w:r>
              <w:rPr>
                <w:color w:val="000000"/>
                <w:sz w:val="20"/>
                <w:szCs w:val="20"/>
              </w:rPr>
              <w:t xml:space="preserve">  </w:t>
            </w:r>
            <w:r w:rsidR="001B1C04" w:rsidRPr="001051A3">
              <w:rPr>
                <w:color w:val="000000"/>
                <w:sz w:val="20"/>
                <w:szCs w:val="20"/>
              </w:rPr>
              <w:t>Health benefits</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31BC7418" w14:textId="409188A3" w:rsidR="001B1C04" w:rsidRPr="00D94727" w:rsidRDefault="00D94727" w:rsidP="00901DF3">
            <w:pPr>
              <w:spacing w:line="480" w:lineRule="auto"/>
              <w:jc w:val="center"/>
              <w:rPr>
                <w:bCs/>
                <w:color w:val="000000"/>
                <w:sz w:val="20"/>
                <w:szCs w:val="20"/>
              </w:rPr>
            </w:pPr>
            <w:r w:rsidRPr="00D94727">
              <w:rPr>
                <w:bCs/>
                <w:color w:val="000000"/>
                <w:sz w:val="20"/>
                <w:szCs w:val="20"/>
              </w:rPr>
              <w:t>0</w:t>
            </w:r>
          </w:p>
        </w:tc>
        <w:tc>
          <w:tcPr>
            <w:tcW w:w="880" w:type="dxa"/>
            <w:tcBorders>
              <w:top w:val="single" w:sz="4" w:space="0" w:color="auto"/>
              <w:left w:val="nil"/>
              <w:bottom w:val="single" w:sz="4" w:space="0" w:color="auto"/>
              <w:right w:val="nil"/>
            </w:tcBorders>
            <w:shd w:val="clear" w:color="auto" w:fill="auto"/>
            <w:vAlign w:val="center"/>
            <w:hideMark/>
          </w:tcPr>
          <w:p w14:paraId="25BE882C" w14:textId="1E1CC340" w:rsidR="001B1C04" w:rsidRPr="00D94727" w:rsidRDefault="00D94727" w:rsidP="00901DF3">
            <w:pPr>
              <w:spacing w:line="480" w:lineRule="auto"/>
              <w:jc w:val="center"/>
              <w:rPr>
                <w:bCs/>
                <w:color w:val="000000"/>
                <w:sz w:val="20"/>
                <w:szCs w:val="20"/>
              </w:rPr>
            </w:pPr>
            <w:r w:rsidRPr="00D94727">
              <w:rPr>
                <w:bCs/>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1881EB26" w14:textId="28CF9C8B" w:rsidR="001B1C04" w:rsidRPr="00D94727" w:rsidRDefault="00D94727" w:rsidP="00901DF3">
            <w:pPr>
              <w:spacing w:line="480" w:lineRule="auto"/>
              <w:jc w:val="center"/>
              <w:rPr>
                <w:b/>
                <w:color w:val="000000"/>
                <w:sz w:val="20"/>
                <w:szCs w:val="20"/>
              </w:rPr>
            </w:pPr>
            <w:r w:rsidRPr="00D94727">
              <w:rPr>
                <w:b/>
                <w:color w:val="000000"/>
                <w:sz w:val="20"/>
                <w:szCs w:val="20"/>
              </w:rPr>
              <w:t>-0.193</w:t>
            </w:r>
          </w:p>
        </w:tc>
        <w:tc>
          <w:tcPr>
            <w:tcW w:w="1019" w:type="dxa"/>
            <w:tcBorders>
              <w:top w:val="single" w:sz="4" w:space="0" w:color="auto"/>
              <w:left w:val="nil"/>
              <w:bottom w:val="single" w:sz="4" w:space="0" w:color="auto"/>
              <w:right w:val="nil"/>
            </w:tcBorders>
            <w:shd w:val="clear" w:color="auto" w:fill="auto"/>
            <w:vAlign w:val="center"/>
            <w:hideMark/>
          </w:tcPr>
          <w:p w14:paraId="4B26BD76" w14:textId="2704B8B5" w:rsidR="001B1C04" w:rsidRPr="00D94727" w:rsidRDefault="00D94727" w:rsidP="00901DF3">
            <w:pPr>
              <w:spacing w:line="480" w:lineRule="auto"/>
              <w:jc w:val="center"/>
              <w:rPr>
                <w:b/>
                <w:color w:val="000000"/>
                <w:sz w:val="20"/>
                <w:szCs w:val="20"/>
              </w:rPr>
            </w:pPr>
            <w:r w:rsidRPr="00D94727">
              <w:rPr>
                <w:b/>
                <w:color w:val="000000"/>
                <w:sz w:val="20"/>
                <w:szCs w:val="20"/>
              </w:rPr>
              <w:t>-0.134</w:t>
            </w:r>
          </w:p>
        </w:tc>
        <w:tc>
          <w:tcPr>
            <w:tcW w:w="891" w:type="dxa"/>
            <w:tcBorders>
              <w:top w:val="single" w:sz="4" w:space="0" w:color="auto"/>
              <w:bottom w:val="single" w:sz="4" w:space="0" w:color="auto"/>
            </w:tcBorders>
            <w:vAlign w:val="center"/>
          </w:tcPr>
          <w:p w14:paraId="040E83F9" w14:textId="4A689137" w:rsidR="001B1C04" w:rsidRPr="00D94727" w:rsidRDefault="00D94727" w:rsidP="00901DF3">
            <w:pPr>
              <w:spacing w:line="480" w:lineRule="auto"/>
              <w:jc w:val="center"/>
              <w:rPr>
                <w:b/>
              </w:rPr>
            </w:pPr>
            <w:r w:rsidRPr="00D94727">
              <w:rPr>
                <w:b/>
                <w:color w:val="000000"/>
                <w:sz w:val="20"/>
                <w:szCs w:val="20"/>
              </w:rPr>
              <w:t>-0.386</w:t>
            </w:r>
          </w:p>
        </w:tc>
        <w:tc>
          <w:tcPr>
            <w:tcW w:w="1148" w:type="dxa"/>
            <w:tcBorders>
              <w:top w:val="single" w:sz="4" w:space="0" w:color="auto"/>
              <w:bottom w:val="single" w:sz="4" w:space="0" w:color="auto"/>
              <w:right w:val="single" w:sz="4" w:space="0" w:color="auto"/>
            </w:tcBorders>
            <w:vAlign w:val="center"/>
          </w:tcPr>
          <w:p w14:paraId="3BE9A499" w14:textId="6143FF83" w:rsidR="001B1C04" w:rsidRPr="00D94727" w:rsidRDefault="00D94727" w:rsidP="00901DF3">
            <w:pPr>
              <w:spacing w:line="480" w:lineRule="auto"/>
              <w:jc w:val="center"/>
              <w:rPr>
                <w:b/>
              </w:rPr>
            </w:pPr>
            <w:r w:rsidRPr="00D94727">
              <w:rPr>
                <w:b/>
                <w:color w:val="000000"/>
                <w:sz w:val="20"/>
                <w:szCs w:val="20"/>
              </w:rPr>
              <w:t>-0.268</w:t>
            </w:r>
          </w:p>
        </w:tc>
      </w:tr>
      <w:tr w:rsidR="001B1C04" w:rsidRPr="001051A3" w14:paraId="0F5980D0" w14:textId="1339646E" w:rsidTr="00257C69">
        <w:trPr>
          <w:trHeight w:val="300"/>
        </w:trPr>
        <w:tc>
          <w:tcPr>
            <w:tcW w:w="3240" w:type="dxa"/>
            <w:tcBorders>
              <w:top w:val="single" w:sz="4" w:space="0" w:color="auto"/>
              <w:left w:val="single" w:sz="4" w:space="0" w:color="auto"/>
              <w:bottom w:val="single" w:sz="4" w:space="0" w:color="auto"/>
              <w:right w:val="nil"/>
            </w:tcBorders>
            <w:shd w:val="clear" w:color="auto" w:fill="auto"/>
            <w:vAlign w:val="center"/>
            <w:hideMark/>
          </w:tcPr>
          <w:p w14:paraId="127ECE8F" w14:textId="1061C424" w:rsidR="001B1C04" w:rsidRPr="001051A3" w:rsidRDefault="003440DE" w:rsidP="00901DF3">
            <w:pPr>
              <w:spacing w:line="480" w:lineRule="auto"/>
              <w:rPr>
                <w:color w:val="000000"/>
                <w:sz w:val="20"/>
                <w:szCs w:val="20"/>
              </w:rPr>
            </w:pPr>
            <w:r>
              <w:rPr>
                <w:color w:val="000000"/>
                <w:sz w:val="20"/>
                <w:szCs w:val="20"/>
              </w:rPr>
              <w:t xml:space="preserve">  </w:t>
            </w:r>
            <w:r w:rsidR="001B1C04" w:rsidRPr="001051A3">
              <w:rPr>
                <w:color w:val="000000"/>
                <w:sz w:val="20"/>
                <w:szCs w:val="20"/>
              </w:rPr>
              <w:t>Prolonged life</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25C6F6E7" w14:textId="7FB511BA" w:rsidR="001B1C04" w:rsidRPr="00D94727" w:rsidRDefault="00D94727" w:rsidP="00901DF3">
            <w:pPr>
              <w:spacing w:line="480" w:lineRule="auto"/>
              <w:jc w:val="center"/>
              <w:rPr>
                <w:bCs/>
                <w:color w:val="000000"/>
                <w:sz w:val="20"/>
                <w:szCs w:val="20"/>
              </w:rPr>
            </w:pPr>
            <w:r w:rsidRPr="00D94727">
              <w:rPr>
                <w:bCs/>
                <w:color w:val="000000"/>
                <w:sz w:val="20"/>
                <w:szCs w:val="20"/>
              </w:rPr>
              <w:t>0</w:t>
            </w:r>
          </w:p>
        </w:tc>
        <w:tc>
          <w:tcPr>
            <w:tcW w:w="880" w:type="dxa"/>
            <w:tcBorders>
              <w:top w:val="single" w:sz="4" w:space="0" w:color="auto"/>
              <w:left w:val="nil"/>
              <w:bottom w:val="single" w:sz="4" w:space="0" w:color="auto"/>
              <w:right w:val="nil"/>
            </w:tcBorders>
            <w:shd w:val="clear" w:color="auto" w:fill="auto"/>
            <w:vAlign w:val="center"/>
            <w:hideMark/>
          </w:tcPr>
          <w:p w14:paraId="5CFAC32C" w14:textId="507B2074" w:rsidR="001B1C04" w:rsidRPr="00D94727" w:rsidRDefault="001B1C04" w:rsidP="00901DF3">
            <w:pPr>
              <w:spacing w:line="480" w:lineRule="auto"/>
              <w:jc w:val="center"/>
              <w:rPr>
                <w:bCs/>
                <w:color w:val="000000"/>
                <w:sz w:val="20"/>
                <w:szCs w:val="20"/>
              </w:rPr>
            </w:pPr>
            <w:r w:rsidRPr="00D94727">
              <w:rPr>
                <w:bCs/>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781E074E" w14:textId="1C6A6145" w:rsidR="001B1C04" w:rsidRPr="00D94727" w:rsidRDefault="00D94727" w:rsidP="00901DF3">
            <w:pPr>
              <w:spacing w:line="480" w:lineRule="auto"/>
              <w:jc w:val="center"/>
              <w:rPr>
                <w:b/>
                <w:color w:val="000000"/>
                <w:sz w:val="20"/>
                <w:szCs w:val="20"/>
              </w:rPr>
            </w:pPr>
            <w:r w:rsidRPr="00D94727">
              <w:rPr>
                <w:b/>
                <w:color w:val="000000"/>
                <w:sz w:val="20"/>
                <w:szCs w:val="20"/>
              </w:rPr>
              <w:t>0.007</w:t>
            </w:r>
          </w:p>
        </w:tc>
        <w:tc>
          <w:tcPr>
            <w:tcW w:w="1019" w:type="dxa"/>
            <w:tcBorders>
              <w:top w:val="single" w:sz="4" w:space="0" w:color="auto"/>
              <w:left w:val="nil"/>
              <w:bottom w:val="single" w:sz="4" w:space="0" w:color="auto"/>
              <w:right w:val="nil"/>
            </w:tcBorders>
            <w:shd w:val="clear" w:color="auto" w:fill="auto"/>
            <w:vAlign w:val="center"/>
            <w:hideMark/>
          </w:tcPr>
          <w:p w14:paraId="330B461B" w14:textId="1A58408B" w:rsidR="001B1C04" w:rsidRPr="00D94727" w:rsidRDefault="00D94727" w:rsidP="00901DF3">
            <w:pPr>
              <w:spacing w:line="480" w:lineRule="auto"/>
              <w:jc w:val="center"/>
              <w:rPr>
                <w:b/>
                <w:color w:val="000000"/>
                <w:sz w:val="20"/>
                <w:szCs w:val="20"/>
              </w:rPr>
            </w:pPr>
            <w:r w:rsidRPr="00D94727">
              <w:rPr>
                <w:b/>
                <w:color w:val="000000"/>
                <w:sz w:val="20"/>
                <w:szCs w:val="20"/>
              </w:rPr>
              <w:t>-0.320</w:t>
            </w:r>
          </w:p>
        </w:tc>
        <w:tc>
          <w:tcPr>
            <w:tcW w:w="891" w:type="dxa"/>
            <w:tcBorders>
              <w:top w:val="single" w:sz="4" w:space="0" w:color="auto"/>
              <w:bottom w:val="single" w:sz="4" w:space="0" w:color="auto"/>
            </w:tcBorders>
            <w:vAlign w:val="center"/>
          </w:tcPr>
          <w:p w14:paraId="1BCE7B6C" w14:textId="0A64058F" w:rsidR="001B1C04" w:rsidRPr="00D94727" w:rsidRDefault="00D94727" w:rsidP="00901DF3">
            <w:pPr>
              <w:spacing w:line="480" w:lineRule="auto"/>
              <w:jc w:val="center"/>
              <w:rPr>
                <w:b/>
              </w:rPr>
            </w:pPr>
            <w:r w:rsidRPr="00D94727">
              <w:rPr>
                <w:b/>
                <w:color w:val="000000"/>
                <w:sz w:val="20"/>
                <w:szCs w:val="20"/>
              </w:rPr>
              <w:t>0.014</w:t>
            </w:r>
          </w:p>
        </w:tc>
        <w:tc>
          <w:tcPr>
            <w:tcW w:w="1148" w:type="dxa"/>
            <w:tcBorders>
              <w:top w:val="single" w:sz="4" w:space="0" w:color="auto"/>
              <w:bottom w:val="single" w:sz="4" w:space="0" w:color="auto"/>
              <w:right w:val="single" w:sz="4" w:space="0" w:color="auto"/>
            </w:tcBorders>
            <w:vAlign w:val="center"/>
          </w:tcPr>
          <w:p w14:paraId="5B619F32" w14:textId="434E8983" w:rsidR="001B1C04" w:rsidRPr="00D94727" w:rsidRDefault="00D94727" w:rsidP="00901DF3">
            <w:pPr>
              <w:spacing w:line="480" w:lineRule="auto"/>
              <w:jc w:val="center"/>
              <w:rPr>
                <w:b/>
              </w:rPr>
            </w:pPr>
            <w:r w:rsidRPr="00D94727">
              <w:rPr>
                <w:b/>
                <w:color w:val="000000"/>
                <w:sz w:val="20"/>
                <w:szCs w:val="20"/>
              </w:rPr>
              <w:t>-0.640</w:t>
            </w:r>
          </w:p>
        </w:tc>
      </w:tr>
      <w:tr w:rsidR="003440DE" w:rsidRPr="001051A3" w14:paraId="67C75815" w14:textId="77777777" w:rsidTr="00257C69">
        <w:trPr>
          <w:trHeight w:val="300"/>
        </w:trPr>
        <w:tc>
          <w:tcPr>
            <w:tcW w:w="9152" w:type="dxa"/>
            <w:gridSpan w:val="7"/>
            <w:tcBorders>
              <w:top w:val="nil"/>
              <w:left w:val="single" w:sz="4" w:space="0" w:color="auto"/>
              <w:bottom w:val="single" w:sz="4" w:space="0" w:color="auto"/>
              <w:right w:val="single" w:sz="4" w:space="0" w:color="auto"/>
            </w:tcBorders>
            <w:shd w:val="clear" w:color="auto" w:fill="auto"/>
            <w:vAlign w:val="center"/>
          </w:tcPr>
          <w:p w14:paraId="6C21CD21" w14:textId="4542F314" w:rsidR="003440DE" w:rsidRDefault="003440DE" w:rsidP="00901DF3">
            <w:pPr>
              <w:spacing w:line="480" w:lineRule="auto"/>
              <w:rPr>
                <w:b/>
                <w:bCs/>
                <w:color w:val="000000"/>
                <w:sz w:val="20"/>
                <w:szCs w:val="20"/>
              </w:rPr>
            </w:pPr>
            <w:r>
              <w:rPr>
                <w:b/>
                <w:bCs/>
                <w:color w:val="000000"/>
                <w:sz w:val="20"/>
                <w:szCs w:val="20"/>
              </w:rPr>
              <w:t>12. Accidents (collisions)</w:t>
            </w:r>
          </w:p>
        </w:tc>
      </w:tr>
      <w:tr w:rsidR="001B1C04" w:rsidRPr="001051A3" w14:paraId="7B412431" w14:textId="4B95A8A7" w:rsidTr="00257C69">
        <w:trPr>
          <w:trHeight w:val="300"/>
        </w:trPr>
        <w:tc>
          <w:tcPr>
            <w:tcW w:w="3240" w:type="dxa"/>
            <w:tcBorders>
              <w:top w:val="nil"/>
              <w:left w:val="single" w:sz="4" w:space="0" w:color="auto"/>
              <w:bottom w:val="single" w:sz="4" w:space="0" w:color="auto"/>
              <w:right w:val="nil"/>
            </w:tcBorders>
            <w:shd w:val="clear" w:color="auto" w:fill="auto"/>
            <w:vAlign w:val="center"/>
            <w:hideMark/>
          </w:tcPr>
          <w:p w14:paraId="77AF61E2" w14:textId="204F6FA0" w:rsidR="001B1C04" w:rsidRPr="001051A3" w:rsidRDefault="003440DE" w:rsidP="00901DF3">
            <w:pPr>
              <w:spacing w:line="480" w:lineRule="auto"/>
              <w:rPr>
                <w:color w:val="000000"/>
                <w:sz w:val="20"/>
                <w:szCs w:val="20"/>
              </w:rPr>
            </w:pPr>
            <w:r>
              <w:rPr>
                <w:color w:val="000000"/>
                <w:sz w:val="20"/>
                <w:szCs w:val="20"/>
              </w:rPr>
              <w:t xml:space="preserve">  </w:t>
            </w:r>
            <w:r w:rsidR="001B1C04" w:rsidRPr="001051A3">
              <w:rPr>
                <w:color w:val="000000"/>
                <w:sz w:val="20"/>
                <w:szCs w:val="20"/>
              </w:rPr>
              <w:t>Accidents</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1E4B0F65" w14:textId="57C64D6E" w:rsidR="001B1C04" w:rsidRPr="001051A3" w:rsidRDefault="001B1C04" w:rsidP="00901DF3">
            <w:pPr>
              <w:spacing w:line="480" w:lineRule="auto"/>
              <w:jc w:val="center"/>
              <w:rPr>
                <w:b/>
                <w:bCs/>
                <w:color w:val="000000"/>
                <w:sz w:val="20"/>
                <w:szCs w:val="20"/>
              </w:rPr>
            </w:pPr>
            <w:r w:rsidRPr="001051A3">
              <w:rPr>
                <w:b/>
                <w:bCs/>
                <w:color w:val="000000"/>
                <w:sz w:val="20"/>
                <w:szCs w:val="20"/>
              </w:rPr>
              <w:t>0.00</w:t>
            </w:r>
            <w:r w:rsidR="00273B31">
              <w:rPr>
                <w:b/>
                <w:bCs/>
                <w:color w:val="000000"/>
                <w:sz w:val="20"/>
                <w:szCs w:val="20"/>
              </w:rPr>
              <w:t>2</w:t>
            </w:r>
          </w:p>
        </w:tc>
        <w:tc>
          <w:tcPr>
            <w:tcW w:w="880" w:type="dxa"/>
            <w:tcBorders>
              <w:top w:val="single" w:sz="4" w:space="0" w:color="auto"/>
              <w:left w:val="nil"/>
              <w:bottom w:val="single" w:sz="4" w:space="0" w:color="auto"/>
              <w:right w:val="nil"/>
            </w:tcBorders>
            <w:shd w:val="clear" w:color="auto" w:fill="auto"/>
            <w:vAlign w:val="center"/>
            <w:hideMark/>
          </w:tcPr>
          <w:p w14:paraId="409A4592" w14:textId="1513B39A" w:rsidR="001B1C04" w:rsidRPr="001051A3" w:rsidRDefault="00273B31" w:rsidP="00901DF3">
            <w:pPr>
              <w:spacing w:line="480" w:lineRule="auto"/>
              <w:jc w:val="center"/>
              <w:rPr>
                <w:b/>
                <w:bCs/>
                <w:color w:val="000000"/>
                <w:sz w:val="20"/>
                <w:szCs w:val="20"/>
              </w:rPr>
            </w:pPr>
            <w:r>
              <w:rPr>
                <w:b/>
                <w:bCs/>
                <w:color w:val="000000"/>
                <w:sz w:val="20"/>
                <w:szCs w:val="20"/>
              </w:rPr>
              <w:t>?</w:t>
            </w:r>
          </w:p>
        </w:tc>
        <w:tc>
          <w:tcPr>
            <w:tcW w:w="985" w:type="dxa"/>
            <w:tcBorders>
              <w:top w:val="single" w:sz="4" w:space="0" w:color="auto"/>
              <w:left w:val="nil"/>
              <w:bottom w:val="single" w:sz="4" w:space="0" w:color="auto"/>
              <w:right w:val="nil"/>
            </w:tcBorders>
            <w:shd w:val="clear" w:color="auto" w:fill="auto"/>
            <w:vAlign w:val="center"/>
            <w:hideMark/>
          </w:tcPr>
          <w:p w14:paraId="37DDE3E2" w14:textId="5D6A3A62" w:rsidR="001B1C04" w:rsidRPr="001051A3" w:rsidRDefault="00273B31" w:rsidP="00901DF3">
            <w:pPr>
              <w:spacing w:line="480" w:lineRule="auto"/>
              <w:jc w:val="center"/>
              <w:rPr>
                <w:b/>
                <w:bCs/>
                <w:color w:val="000000"/>
                <w:sz w:val="20"/>
                <w:szCs w:val="20"/>
              </w:rPr>
            </w:pPr>
            <w:r>
              <w:rPr>
                <w:b/>
                <w:bCs/>
                <w:color w:val="000000"/>
                <w:sz w:val="20"/>
                <w:szCs w:val="20"/>
              </w:rPr>
              <w:t>&lt;</w:t>
            </w:r>
            <w:r w:rsidR="001B1C04" w:rsidRPr="001051A3">
              <w:rPr>
                <w:b/>
                <w:bCs/>
                <w:color w:val="000000"/>
                <w:sz w:val="20"/>
                <w:szCs w:val="20"/>
              </w:rPr>
              <w:t>0.00</w:t>
            </w:r>
            <w:r>
              <w:rPr>
                <w:b/>
                <w:bCs/>
                <w:color w:val="000000"/>
                <w:sz w:val="20"/>
                <w:szCs w:val="20"/>
              </w:rPr>
              <w:t>1</w:t>
            </w:r>
          </w:p>
        </w:tc>
        <w:tc>
          <w:tcPr>
            <w:tcW w:w="1019" w:type="dxa"/>
            <w:tcBorders>
              <w:top w:val="single" w:sz="4" w:space="0" w:color="auto"/>
              <w:left w:val="nil"/>
              <w:bottom w:val="single" w:sz="4" w:space="0" w:color="auto"/>
              <w:right w:val="nil"/>
            </w:tcBorders>
            <w:shd w:val="clear" w:color="auto" w:fill="auto"/>
            <w:vAlign w:val="center"/>
            <w:hideMark/>
          </w:tcPr>
          <w:p w14:paraId="567C37C8" w14:textId="04D61EFF" w:rsidR="001B1C04" w:rsidRPr="001051A3" w:rsidRDefault="00273B31" w:rsidP="00901DF3">
            <w:pPr>
              <w:spacing w:line="480" w:lineRule="auto"/>
              <w:jc w:val="center"/>
              <w:rPr>
                <w:b/>
                <w:bCs/>
                <w:color w:val="000000"/>
                <w:sz w:val="20"/>
                <w:szCs w:val="20"/>
              </w:rPr>
            </w:pPr>
            <w:r>
              <w:rPr>
                <w:b/>
                <w:bCs/>
                <w:color w:val="000000"/>
                <w:sz w:val="20"/>
                <w:szCs w:val="20"/>
              </w:rPr>
              <w:t>0.066</w:t>
            </w:r>
          </w:p>
        </w:tc>
        <w:tc>
          <w:tcPr>
            <w:tcW w:w="891" w:type="dxa"/>
            <w:tcBorders>
              <w:top w:val="single" w:sz="4" w:space="0" w:color="auto"/>
              <w:bottom w:val="single" w:sz="4" w:space="0" w:color="auto"/>
            </w:tcBorders>
            <w:vAlign w:val="center"/>
          </w:tcPr>
          <w:p w14:paraId="4773ECB4" w14:textId="4F4EABD9" w:rsidR="001B1C04" w:rsidRPr="001051A3" w:rsidRDefault="00273B31" w:rsidP="00901DF3">
            <w:pPr>
              <w:spacing w:line="480" w:lineRule="auto"/>
              <w:jc w:val="center"/>
            </w:pPr>
            <w:r>
              <w:rPr>
                <w:b/>
                <w:bCs/>
                <w:color w:val="000000"/>
                <w:sz w:val="20"/>
                <w:szCs w:val="20"/>
              </w:rPr>
              <w:t>&lt;</w:t>
            </w:r>
            <w:r w:rsidR="001B1C04" w:rsidRPr="001051A3">
              <w:rPr>
                <w:b/>
                <w:bCs/>
                <w:color w:val="000000"/>
                <w:sz w:val="20"/>
                <w:szCs w:val="20"/>
              </w:rPr>
              <w:t>0.00</w:t>
            </w:r>
            <w:r>
              <w:rPr>
                <w:b/>
                <w:bCs/>
                <w:color w:val="000000"/>
                <w:sz w:val="20"/>
                <w:szCs w:val="20"/>
              </w:rPr>
              <w:t>1</w:t>
            </w:r>
          </w:p>
        </w:tc>
        <w:tc>
          <w:tcPr>
            <w:tcW w:w="1148" w:type="dxa"/>
            <w:tcBorders>
              <w:top w:val="single" w:sz="4" w:space="0" w:color="auto"/>
              <w:bottom w:val="single" w:sz="4" w:space="0" w:color="auto"/>
              <w:right w:val="single" w:sz="4" w:space="0" w:color="auto"/>
            </w:tcBorders>
            <w:vAlign w:val="center"/>
          </w:tcPr>
          <w:p w14:paraId="454C8DA8" w14:textId="189D1639" w:rsidR="001B1C04" w:rsidRPr="001051A3" w:rsidRDefault="00273B31" w:rsidP="00901DF3">
            <w:pPr>
              <w:spacing w:line="480" w:lineRule="auto"/>
              <w:jc w:val="center"/>
            </w:pPr>
            <w:r>
              <w:rPr>
                <w:b/>
                <w:bCs/>
                <w:color w:val="000000"/>
                <w:sz w:val="20"/>
                <w:szCs w:val="20"/>
              </w:rPr>
              <w:t>0.066</w:t>
            </w:r>
          </w:p>
        </w:tc>
      </w:tr>
      <w:tr w:rsidR="003440DE" w:rsidRPr="001051A3" w14:paraId="52EE6BA8" w14:textId="77777777" w:rsidTr="00257C69">
        <w:trPr>
          <w:trHeight w:val="333"/>
        </w:trPr>
        <w:tc>
          <w:tcPr>
            <w:tcW w:w="4225" w:type="dxa"/>
            <w:gridSpan w:val="2"/>
            <w:tcBorders>
              <w:top w:val="nil"/>
              <w:left w:val="single" w:sz="4" w:space="0" w:color="auto"/>
              <w:bottom w:val="single" w:sz="4" w:space="0" w:color="auto"/>
              <w:right w:val="nil"/>
            </w:tcBorders>
            <w:shd w:val="clear" w:color="auto" w:fill="auto"/>
            <w:vAlign w:val="center"/>
          </w:tcPr>
          <w:p w14:paraId="19FDEF80" w14:textId="622F1C18" w:rsidR="003440DE" w:rsidRPr="003440DE" w:rsidRDefault="003440DE" w:rsidP="00901DF3">
            <w:pPr>
              <w:spacing w:line="480" w:lineRule="auto"/>
              <w:rPr>
                <w:b/>
                <w:bCs/>
                <w:color w:val="000000"/>
                <w:sz w:val="20"/>
                <w:szCs w:val="20"/>
              </w:rPr>
            </w:pPr>
            <w:r w:rsidRPr="003440DE">
              <w:rPr>
                <w:b/>
                <w:color w:val="000000"/>
                <w:sz w:val="20"/>
                <w:szCs w:val="20"/>
              </w:rPr>
              <w:t>13. Perceived safety &amp; discomfort</w:t>
            </w:r>
          </w:p>
        </w:tc>
        <w:tc>
          <w:tcPr>
            <w:tcW w:w="880" w:type="dxa"/>
            <w:tcBorders>
              <w:top w:val="single" w:sz="4" w:space="0" w:color="auto"/>
              <w:left w:val="nil"/>
              <w:bottom w:val="single" w:sz="4" w:space="0" w:color="auto"/>
              <w:right w:val="nil"/>
            </w:tcBorders>
            <w:shd w:val="clear" w:color="auto" w:fill="auto"/>
            <w:vAlign w:val="center"/>
          </w:tcPr>
          <w:p w14:paraId="3DD9D126" w14:textId="77777777" w:rsidR="003440DE" w:rsidRPr="001C1CC8" w:rsidRDefault="003440DE" w:rsidP="00901DF3">
            <w:pPr>
              <w:spacing w:line="480" w:lineRule="auto"/>
              <w:jc w:val="center"/>
              <w:rPr>
                <w:bCs/>
                <w:color w:val="000000"/>
                <w:sz w:val="20"/>
                <w:szCs w:val="20"/>
              </w:rPr>
            </w:pPr>
          </w:p>
        </w:tc>
        <w:tc>
          <w:tcPr>
            <w:tcW w:w="985" w:type="dxa"/>
            <w:tcBorders>
              <w:top w:val="single" w:sz="4" w:space="0" w:color="auto"/>
              <w:left w:val="nil"/>
              <w:bottom w:val="single" w:sz="4" w:space="0" w:color="auto"/>
              <w:right w:val="nil"/>
            </w:tcBorders>
            <w:shd w:val="clear" w:color="auto" w:fill="auto"/>
            <w:vAlign w:val="center"/>
          </w:tcPr>
          <w:p w14:paraId="68397BDD" w14:textId="77777777" w:rsidR="003440DE" w:rsidRPr="001C1CC8" w:rsidRDefault="003440DE" w:rsidP="00901DF3">
            <w:pPr>
              <w:spacing w:line="480" w:lineRule="auto"/>
              <w:jc w:val="center"/>
              <w:rPr>
                <w:bCs/>
                <w:color w:val="000000"/>
                <w:sz w:val="20"/>
                <w:szCs w:val="20"/>
              </w:rPr>
            </w:pPr>
          </w:p>
        </w:tc>
        <w:tc>
          <w:tcPr>
            <w:tcW w:w="1019" w:type="dxa"/>
            <w:tcBorders>
              <w:top w:val="single" w:sz="4" w:space="0" w:color="auto"/>
              <w:left w:val="nil"/>
              <w:bottom w:val="single" w:sz="4" w:space="0" w:color="auto"/>
              <w:right w:val="nil"/>
            </w:tcBorders>
            <w:shd w:val="clear" w:color="auto" w:fill="auto"/>
            <w:vAlign w:val="center"/>
          </w:tcPr>
          <w:p w14:paraId="0051BE0E" w14:textId="77777777" w:rsidR="003440DE" w:rsidRDefault="003440DE" w:rsidP="00901DF3">
            <w:pPr>
              <w:spacing w:line="480" w:lineRule="auto"/>
              <w:jc w:val="center"/>
              <w:rPr>
                <w:b/>
                <w:bCs/>
                <w:color w:val="000000"/>
                <w:sz w:val="20"/>
                <w:szCs w:val="20"/>
              </w:rPr>
            </w:pPr>
          </w:p>
        </w:tc>
        <w:tc>
          <w:tcPr>
            <w:tcW w:w="891" w:type="dxa"/>
            <w:tcBorders>
              <w:top w:val="single" w:sz="4" w:space="0" w:color="auto"/>
              <w:bottom w:val="single" w:sz="4" w:space="0" w:color="auto"/>
            </w:tcBorders>
            <w:vAlign w:val="center"/>
          </w:tcPr>
          <w:p w14:paraId="5AF4E0B9" w14:textId="77777777" w:rsidR="003440DE" w:rsidRPr="001C1CC8" w:rsidRDefault="003440DE" w:rsidP="00901DF3">
            <w:pPr>
              <w:spacing w:line="480" w:lineRule="auto"/>
              <w:jc w:val="center"/>
              <w:rPr>
                <w:bCs/>
                <w:color w:val="000000"/>
                <w:sz w:val="20"/>
                <w:szCs w:val="20"/>
              </w:rPr>
            </w:pPr>
          </w:p>
        </w:tc>
        <w:tc>
          <w:tcPr>
            <w:tcW w:w="1148" w:type="dxa"/>
            <w:tcBorders>
              <w:top w:val="single" w:sz="4" w:space="0" w:color="auto"/>
              <w:bottom w:val="single" w:sz="4" w:space="0" w:color="auto"/>
              <w:right w:val="single" w:sz="4" w:space="0" w:color="auto"/>
            </w:tcBorders>
            <w:vAlign w:val="center"/>
          </w:tcPr>
          <w:p w14:paraId="7F5DF78A" w14:textId="77777777" w:rsidR="003440DE" w:rsidRDefault="003440DE" w:rsidP="00901DF3">
            <w:pPr>
              <w:spacing w:line="480" w:lineRule="auto"/>
              <w:jc w:val="center"/>
              <w:rPr>
                <w:b/>
                <w:bCs/>
                <w:color w:val="000000"/>
                <w:sz w:val="20"/>
                <w:szCs w:val="20"/>
              </w:rPr>
            </w:pPr>
          </w:p>
        </w:tc>
      </w:tr>
      <w:tr w:rsidR="001B1C04" w:rsidRPr="001051A3" w14:paraId="340BA25C" w14:textId="0CF08B7F" w:rsidTr="00257C69">
        <w:trPr>
          <w:trHeight w:val="333"/>
        </w:trPr>
        <w:tc>
          <w:tcPr>
            <w:tcW w:w="3240" w:type="dxa"/>
            <w:tcBorders>
              <w:top w:val="nil"/>
              <w:left w:val="single" w:sz="4" w:space="0" w:color="auto"/>
              <w:bottom w:val="single" w:sz="4" w:space="0" w:color="auto"/>
              <w:right w:val="nil"/>
            </w:tcBorders>
            <w:shd w:val="clear" w:color="auto" w:fill="auto"/>
            <w:vAlign w:val="center"/>
            <w:hideMark/>
          </w:tcPr>
          <w:p w14:paraId="0D166650" w14:textId="194388DB" w:rsidR="001B1C04" w:rsidRPr="001051A3" w:rsidRDefault="003440DE" w:rsidP="00901DF3">
            <w:pPr>
              <w:spacing w:line="480" w:lineRule="auto"/>
              <w:rPr>
                <w:color w:val="000000"/>
                <w:sz w:val="20"/>
                <w:szCs w:val="20"/>
              </w:rPr>
            </w:pPr>
            <w:r>
              <w:rPr>
                <w:color w:val="000000"/>
                <w:sz w:val="20"/>
                <w:szCs w:val="20"/>
              </w:rPr>
              <w:t xml:space="preserve">  Perceived safety &amp; d</w:t>
            </w:r>
            <w:r w:rsidR="001B1C04" w:rsidRPr="001051A3">
              <w:rPr>
                <w:color w:val="000000"/>
                <w:sz w:val="20"/>
                <w:szCs w:val="20"/>
              </w:rPr>
              <w:t>iscomfort</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2F5FBDF1" w14:textId="27DA9BA7" w:rsidR="001B1C04" w:rsidRPr="001C1CC8" w:rsidRDefault="00273B31" w:rsidP="00901DF3">
            <w:pPr>
              <w:spacing w:line="480" w:lineRule="auto"/>
              <w:jc w:val="center"/>
              <w:rPr>
                <w:bCs/>
                <w:color w:val="000000"/>
                <w:sz w:val="20"/>
                <w:szCs w:val="20"/>
              </w:rPr>
            </w:pPr>
            <w:r w:rsidRPr="001C1CC8">
              <w:rPr>
                <w:bCs/>
                <w:color w:val="000000"/>
                <w:sz w:val="20"/>
                <w:szCs w:val="20"/>
              </w:rPr>
              <w:t>?</w:t>
            </w:r>
          </w:p>
        </w:tc>
        <w:tc>
          <w:tcPr>
            <w:tcW w:w="880" w:type="dxa"/>
            <w:tcBorders>
              <w:top w:val="single" w:sz="4" w:space="0" w:color="auto"/>
              <w:left w:val="nil"/>
              <w:bottom w:val="single" w:sz="4" w:space="0" w:color="auto"/>
              <w:right w:val="nil"/>
            </w:tcBorders>
            <w:shd w:val="clear" w:color="auto" w:fill="auto"/>
            <w:vAlign w:val="center"/>
            <w:hideMark/>
          </w:tcPr>
          <w:p w14:paraId="070686D8" w14:textId="6A43EAC2" w:rsidR="001B1C04" w:rsidRPr="001C1CC8" w:rsidRDefault="00273B31" w:rsidP="00901DF3">
            <w:pPr>
              <w:spacing w:line="480" w:lineRule="auto"/>
              <w:jc w:val="center"/>
              <w:rPr>
                <w:bCs/>
                <w:color w:val="000000"/>
                <w:sz w:val="20"/>
                <w:szCs w:val="20"/>
              </w:rPr>
            </w:pPr>
            <w:r w:rsidRPr="001C1CC8">
              <w:rPr>
                <w:bCs/>
                <w:color w:val="000000"/>
                <w:sz w:val="20"/>
                <w:szCs w:val="20"/>
              </w:rPr>
              <w:t>?</w:t>
            </w:r>
          </w:p>
        </w:tc>
        <w:tc>
          <w:tcPr>
            <w:tcW w:w="985" w:type="dxa"/>
            <w:tcBorders>
              <w:top w:val="single" w:sz="4" w:space="0" w:color="auto"/>
              <w:left w:val="nil"/>
              <w:bottom w:val="single" w:sz="4" w:space="0" w:color="auto"/>
              <w:right w:val="nil"/>
            </w:tcBorders>
            <w:shd w:val="clear" w:color="auto" w:fill="auto"/>
            <w:vAlign w:val="center"/>
            <w:hideMark/>
          </w:tcPr>
          <w:p w14:paraId="794342AC" w14:textId="6141681B" w:rsidR="001B1C04" w:rsidRPr="001C1CC8" w:rsidRDefault="00273B31" w:rsidP="00901DF3">
            <w:pPr>
              <w:spacing w:line="480" w:lineRule="auto"/>
              <w:jc w:val="center"/>
              <w:rPr>
                <w:bCs/>
                <w:color w:val="000000"/>
                <w:sz w:val="20"/>
                <w:szCs w:val="20"/>
              </w:rPr>
            </w:pPr>
            <w:r w:rsidRPr="001C1CC8">
              <w:rPr>
                <w:bCs/>
                <w:color w:val="000000"/>
                <w:sz w:val="20"/>
                <w:szCs w:val="20"/>
              </w:rPr>
              <w:t>-</w:t>
            </w:r>
          </w:p>
        </w:tc>
        <w:tc>
          <w:tcPr>
            <w:tcW w:w="1019" w:type="dxa"/>
            <w:tcBorders>
              <w:top w:val="single" w:sz="4" w:space="0" w:color="auto"/>
              <w:left w:val="nil"/>
              <w:bottom w:val="single" w:sz="4" w:space="0" w:color="auto"/>
              <w:right w:val="nil"/>
            </w:tcBorders>
            <w:shd w:val="clear" w:color="auto" w:fill="auto"/>
            <w:vAlign w:val="center"/>
            <w:hideMark/>
          </w:tcPr>
          <w:p w14:paraId="2461A869" w14:textId="32637437" w:rsidR="001B1C04" w:rsidRPr="001051A3" w:rsidRDefault="00273B31" w:rsidP="00901DF3">
            <w:pPr>
              <w:spacing w:line="480" w:lineRule="auto"/>
              <w:jc w:val="center"/>
              <w:rPr>
                <w:b/>
                <w:bCs/>
                <w:color w:val="000000"/>
                <w:sz w:val="20"/>
                <w:szCs w:val="20"/>
              </w:rPr>
            </w:pPr>
            <w:r>
              <w:rPr>
                <w:b/>
                <w:bCs/>
                <w:color w:val="000000"/>
                <w:sz w:val="20"/>
                <w:szCs w:val="20"/>
              </w:rPr>
              <w:t>0.014</w:t>
            </w:r>
          </w:p>
        </w:tc>
        <w:tc>
          <w:tcPr>
            <w:tcW w:w="891" w:type="dxa"/>
            <w:tcBorders>
              <w:top w:val="single" w:sz="4" w:space="0" w:color="auto"/>
              <w:bottom w:val="single" w:sz="4" w:space="0" w:color="auto"/>
            </w:tcBorders>
            <w:vAlign w:val="center"/>
          </w:tcPr>
          <w:p w14:paraId="0324501F" w14:textId="43089784" w:rsidR="001B1C04" w:rsidRPr="001C1CC8" w:rsidRDefault="001C1CC8" w:rsidP="00901DF3">
            <w:pPr>
              <w:spacing w:line="480" w:lineRule="auto"/>
              <w:jc w:val="center"/>
            </w:pPr>
            <w:r w:rsidRPr="001C1CC8">
              <w:rPr>
                <w:bCs/>
                <w:color w:val="000000"/>
                <w:sz w:val="20"/>
                <w:szCs w:val="20"/>
              </w:rPr>
              <w:t>-</w:t>
            </w:r>
          </w:p>
        </w:tc>
        <w:tc>
          <w:tcPr>
            <w:tcW w:w="1148" w:type="dxa"/>
            <w:tcBorders>
              <w:top w:val="single" w:sz="4" w:space="0" w:color="auto"/>
              <w:bottom w:val="single" w:sz="4" w:space="0" w:color="auto"/>
              <w:right w:val="single" w:sz="4" w:space="0" w:color="auto"/>
            </w:tcBorders>
            <w:vAlign w:val="center"/>
          </w:tcPr>
          <w:p w14:paraId="23226598" w14:textId="6FB24E97" w:rsidR="001B1C04" w:rsidRPr="001051A3" w:rsidRDefault="001C1CC8" w:rsidP="00901DF3">
            <w:pPr>
              <w:spacing w:line="480" w:lineRule="auto"/>
              <w:jc w:val="center"/>
            </w:pPr>
            <w:r>
              <w:rPr>
                <w:b/>
                <w:bCs/>
                <w:color w:val="000000"/>
                <w:sz w:val="20"/>
                <w:szCs w:val="20"/>
              </w:rPr>
              <w:t>0.036</w:t>
            </w:r>
          </w:p>
        </w:tc>
      </w:tr>
      <w:tr w:rsidR="003440DE" w:rsidRPr="00CE63EF" w14:paraId="0320FCC6" w14:textId="77777777" w:rsidTr="00257C69">
        <w:trPr>
          <w:trHeight w:val="278"/>
        </w:trPr>
        <w:tc>
          <w:tcPr>
            <w:tcW w:w="9152" w:type="dxa"/>
            <w:gridSpan w:val="7"/>
            <w:tcBorders>
              <w:top w:val="nil"/>
              <w:left w:val="single" w:sz="4" w:space="0" w:color="auto"/>
              <w:bottom w:val="single" w:sz="4" w:space="0" w:color="auto"/>
              <w:right w:val="single" w:sz="4" w:space="0" w:color="auto"/>
            </w:tcBorders>
            <w:shd w:val="clear" w:color="auto" w:fill="auto"/>
            <w:vAlign w:val="center"/>
          </w:tcPr>
          <w:p w14:paraId="2A831DF5" w14:textId="5D9837FD" w:rsidR="003440DE" w:rsidRPr="0050741C" w:rsidRDefault="003440DE" w:rsidP="00901DF3">
            <w:pPr>
              <w:spacing w:line="480" w:lineRule="auto"/>
              <w:rPr>
                <w:b/>
                <w:color w:val="000000"/>
                <w:sz w:val="20"/>
                <w:szCs w:val="20"/>
                <w:lang w:val="en-US"/>
              </w:rPr>
            </w:pPr>
            <w:r w:rsidRPr="0050741C">
              <w:rPr>
                <w:b/>
                <w:color w:val="000000"/>
                <w:sz w:val="20"/>
                <w:szCs w:val="20"/>
                <w:lang w:val="en-US"/>
              </w:rPr>
              <w:t>14. Quality of life, branding and tourism</w:t>
            </w:r>
          </w:p>
        </w:tc>
      </w:tr>
      <w:tr w:rsidR="001B1C04" w:rsidRPr="001051A3" w14:paraId="52018982" w14:textId="10613F3A" w:rsidTr="00257C69">
        <w:trPr>
          <w:trHeight w:val="390"/>
        </w:trPr>
        <w:tc>
          <w:tcPr>
            <w:tcW w:w="3240" w:type="dxa"/>
            <w:tcBorders>
              <w:top w:val="nil"/>
              <w:left w:val="single" w:sz="4" w:space="0" w:color="auto"/>
              <w:bottom w:val="single" w:sz="4" w:space="0" w:color="auto"/>
              <w:right w:val="nil"/>
            </w:tcBorders>
            <w:shd w:val="clear" w:color="auto" w:fill="auto"/>
            <w:vAlign w:val="center"/>
            <w:hideMark/>
          </w:tcPr>
          <w:p w14:paraId="3D60673C" w14:textId="4EE60071" w:rsidR="001B1C04" w:rsidRPr="0050741C" w:rsidRDefault="003440DE" w:rsidP="00901DF3">
            <w:pPr>
              <w:spacing w:line="480" w:lineRule="auto"/>
              <w:rPr>
                <w:color w:val="000000"/>
                <w:sz w:val="20"/>
                <w:szCs w:val="20"/>
                <w:lang w:val="en-US"/>
              </w:rPr>
            </w:pPr>
            <w:r w:rsidRPr="0050741C">
              <w:rPr>
                <w:color w:val="000000"/>
                <w:sz w:val="20"/>
                <w:szCs w:val="20"/>
                <w:lang w:val="en-US"/>
              </w:rPr>
              <w:t xml:space="preserve">  </w:t>
            </w:r>
            <w:r w:rsidR="001B1C04" w:rsidRPr="0050741C">
              <w:rPr>
                <w:color w:val="000000"/>
                <w:sz w:val="20"/>
                <w:szCs w:val="20"/>
                <w:lang w:val="en-US"/>
              </w:rPr>
              <w:t>Quality of life, branding and tourism</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36652B09" w14:textId="455FBB87" w:rsidR="001B1C04" w:rsidRPr="001C1CC8" w:rsidRDefault="001C1CC8" w:rsidP="00901DF3">
            <w:pPr>
              <w:spacing w:line="480" w:lineRule="auto"/>
              <w:jc w:val="center"/>
              <w:rPr>
                <w:bCs/>
                <w:color w:val="000000"/>
                <w:sz w:val="20"/>
                <w:szCs w:val="20"/>
              </w:rPr>
            </w:pPr>
            <w:r w:rsidRPr="001C1CC8">
              <w:rPr>
                <w:bCs/>
                <w:color w:val="000000"/>
                <w:sz w:val="20"/>
                <w:szCs w:val="20"/>
              </w:rPr>
              <w:t>0</w:t>
            </w:r>
          </w:p>
        </w:tc>
        <w:tc>
          <w:tcPr>
            <w:tcW w:w="880" w:type="dxa"/>
            <w:tcBorders>
              <w:top w:val="single" w:sz="4" w:space="0" w:color="auto"/>
              <w:left w:val="nil"/>
              <w:bottom w:val="single" w:sz="4" w:space="0" w:color="auto"/>
              <w:right w:val="nil"/>
            </w:tcBorders>
            <w:shd w:val="clear" w:color="auto" w:fill="auto"/>
            <w:vAlign w:val="center"/>
            <w:hideMark/>
          </w:tcPr>
          <w:p w14:paraId="6230C19F" w14:textId="0C2F8693" w:rsidR="001B1C04" w:rsidRPr="001C1CC8" w:rsidRDefault="001C1CC8" w:rsidP="00901DF3">
            <w:pPr>
              <w:spacing w:line="480" w:lineRule="auto"/>
              <w:jc w:val="center"/>
              <w:rPr>
                <w:bCs/>
                <w:color w:val="000000"/>
                <w:sz w:val="20"/>
                <w:szCs w:val="20"/>
              </w:rPr>
            </w:pPr>
            <w:r w:rsidRPr="001C1CC8">
              <w:rPr>
                <w:bCs/>
                <w:color w:val="000000"/>
                <w:sz w:val="20"/>
                <w:szCs w:val="20"/>
              </w:rPr>
              <w:t>0</w:t>
            </w:r>
          </w:p>
        </w:tc>
        <w:tc>
          <w:tcPr>
            <w:tcW w:w="985" w:type="dxa"/>
            <w:tcBorders>
              <w:top w:val="single" w:sz="4" w:space="0" w:color="auto"/>
              <w:left w:val="nil"/>
              <w:bottom w:val="single" w:sz="4" w:space="0" w:color="auto"/>
              <w:right w:val="nil"/>
            </w:tcBorders>
            <w:shd w:val="clear" w:color="auto" w:fill="auto"/>
            <w:vAlign w:val="center"/>
            <w:hideMark/>
          </w:tcPr>
          <w:p w14:paraId="03A930EB" w14:textId="3A3128F5" w:rsidR="001B1C04" w:rsidRPr="001C1CC8" w:rsidRDefault="001C1CC8" w:rsidP="00901DF3">
            <w:pPr>
              <w:spacing w:line="480" w:lineRule="auto"/>
              <w:jc w:val="center"/>
              <w:rPr>
                <w:color w:val="000000"/>
                <w:sz w:val="20"/>
                <w:szCs w:val="20"/>
              </w:rPr>
            </w:pPr>
            <w:r w:rsidRPr="001C1CC8">
              <w:rPr>
                <w:color w:val="000000"/>
                <w:sz w:val="20"/>
                <w:szCs w:val="20"/>
              </w:rPr>
              <w:t>?</w:t>
            </w:r>
          </w:p>
        </w:tc>
        <w:tc>
          <w:tcPr>
            <w:tcW w:w="1019" w:type="dxa"/>
            <w:tcBorders>
              <w:top w:val="single" w:sz="4" w:space="0" w:color="auto"/>
              <w:left w:val="nil"/>
              <w:bottom w:val="single" w:sz="4" w:space="0" w:color="auto"/>
              <w:right w:val="nil"/>
            </w:tcBorders>
            <w:shd w:val="clear" w:color="auto" w:fill="auto"/>
            <w:vAlign w:val="center"/>
            <w:hideMark/>
          </w:tcPr>
          <w:p w14:paraId="0CC6498B" w14:textId="0AFD2031" w:rsidR="001B1C04" w:rsidRPr="001C1CC8" w:rsidRDefault="001C1CC8" w:rsidP="00901DF3">
            <w:pPr>
              <w:spacing w:line="480" w:lineRule="auto"/>
              <w:jc w:val="center"/>
              <w:rPr>
                <w:color w:val="000000"/>
                <w:sz w:val="20"/>
                <w:szCs w:val="20"/>
              </w:rPr>
            </w:pPr>
            <w:r w:rsidRPr="001C1CC8">
              <w:rPr>
                <w:color w:val="000000"/>
                <w:sz w:val="20"/>
                <w:szCs w:val="20"/>
              </w:rPr>
              <w:t>?</w:t>
            </w:r>
          </w:p>
        </w:tc>
        <w:tc>
          <w:tcPr>
            <w:tcW w:w="891" w:type="dxa"/>
            <w:tcBorders>
              <w:top w:val="single" w:sz="4" w:space="0" w:color="auto"/>
              <w:bottom w:val="single" w:sz="4" w:space="0" w:color="auto"/>
            </w:tcBorders>
            <w:vAlign w:val="center"/>
          </w:tcPr>
          <w:p w14:paraId="7DC342AC" w14:textId="4A010FC1" w:rsidR="001B1C04" w:rsidRPr="001C1CC8" w:rsidRDefault="001C1CC8" w:rsidP="00901DF3">
            <w:pPr>
              <w:spacing w:line="480" w:lineRule="auto"/>
              <w:jc w:val="center"/>
            </w:pPr>
            <w:r w:rsidRPr="001C1CC8">
              <w:rPr>
                <w:color w:val="000000"/>
                <w:sz w:val="20"/>
                <w:szCs w:val="20"/>
              </w:rPr>
              <w:t>?</w:t>
            </w:r>
          </w:p>
        </w:tc>
        <w:tc>
          <w:tcPr>
            <w:tcW w:w="1148" w:type="dxa"/>
            <w:tcBorders>
              <w:top w:val="single" w:sz="4" w:space="0" w:color="auto"/>
              <w:bottom w:val="single" w:sz="4" w:space="0" w:color="auto"/>
              <w:right w:val="single" w:sz="4" w:space="0" w:color="auto"/>
            </w:tcBorders>
            <w:vAlign w:val="center"/>
          </w:tcPr>
          <w:p w14:paraId="46E1BFF0" w14:textId="3E86F134" w:rsidR="001B1C04" w:rsidRPr="001C1CC8" w:rsidRDefault="001C1CC8" w:rsidP="00901DF3">
            <w:pPr>
              <w:spacing w:line="480" w:lineRule="auto"/>
              <w:jc w:val="center"/>
            </w:pPr>
            <w:r w:rsidRPr="001C1CC8">
              <w:rPr>
                <w:color w:val="000000"/>
                <w:sz w:val="20"/>
                <w:szCs w:val="20"/>
              </w:rPr>
              <w:t>?</w:t>
            </w:r>
          </w:p>
        </w:tc>
      </w:tr>
      <w:tr w:rsidR="001B1C04" w:rsidRPr="001051A3" w14:paraId="0B592773" w14:textId="757AC6E6" w:rsidTr="00257C69">
        <w:trPr>
          <w:trHeight w:val="300"/>
        </w:trPr>
        <w:tc>
          <w:tcPr>
            <w:tcW w:w="3240" w:type="dxa"/>
            <w:tcBorders>
              <w:top w:val="nil"/>
              <w:left w:val="single" w:sz="4" w:space="0" w:color="auto"/>
              <w:bottom w:val="single" w:sz="4" w:space="0" w:color="auto"/>
              <w:right w:val="nil"/>
            </w:tcBorders>
            <w:shd w:val="clear" w:color="auto" w:fill="auto"/>
            <w:vAlign w:val="center"/>
            <w:hideMark/>
          </w:tcPr>
          <w:p w14:paraId="20052B00" w14:textId="77777777" w:rsidR="001B1C04" w:rsidRPr="001051A3" w:rsidRDefault="001B1C04" w:rsidP="00901DF3">
            <w:pPr>
              <w:spacing w:line="480" w:lineRule="auto"/>
              <w:rPr>
                <w:b/>
                <w:bCs/>
                <w:color w:val="000000"/>
                <w:sz w:val="20"/>
                <w:szCs w:val="20"/>
              </w:rPr>
            </w:pPr>
            <w:r w:rsidRPr="001051A3">
              <w:rPr>
                <w:b/>
                <w:bCs/>
                <w:color w:val="000000"/>
                <w:sz w:val="20"/>
                <w:szCs w:val="20"/>
              </w:rPr>
              <w:t>Total</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014F72A0" w14:textId="6AD7EF1C" w:rsidR="001B1C04" w:rsidRPr="001051A3" w:rsidRDefault="00D83CAB" w:rsidP="00901DF3">
            <w:pPr>
              <w:spacing w:line="480" w:lineRule="auto"/>
              <w:jc w:val="right"/>
              <w:rPr>
                <w:b/>
                <w:bCs/>
                <w:color w:val="000000"/>
                <w:sz w:val="20"/>
                <w:szCs w:val="20"/>
              </w:rPr>
            </w:pPr>
            <w:r>
              <w:rPr>
                <w:b/>
                <w:bCs/>
                <w:color w:val="000000"/>
                <w:sz w:val="20"/>
                <w:szCs w:val="20"/>
              </w:rPr>
              <w:t>0.108</w:t>
            </w:r>
          </w:p>
        </w:tc>
        <w:tc>
          <w:tcPr>
            <w:tcW w:w="880" w:type="dxa"/>
            <w:tcBorders>
              <w:top w:val="single" w:sz="4" w:space="0" w:color="auto"/>
              <w:left w:val="nil"/>
              <w:bottom w:val="single" w:sz="4" w:space="0" w:color="auto"/>
              <w:right w:val="nil"/>
            </w:tcBorders>
            <w:shd w:val="clear" w:color="auto" w:fill="auto"/>
            <w:vAlign w:val="center"/>
            <w:hideMark/>
          </w:tcPr>
          <w:p w14:paraId="5FED0C82" w14:textId="1C991313" w:rsidR="001B1C04" w:rsidRPr="001051A3" w:rsidRDefault="00D83CAB" w:rsidP="00901DF3">
            <w:pPr>
              <w:spacing w:line="480" w:lineRule="auto"/>
              <w:jc w:val="center"/>
              <w:rPr>
                <w:b/>
                <w:bCs/>
                <w:color w:val="000000"/>
                <w:sz w:val="20"/>
                <w:szCs w:val="20"/>
              </w:rPr>
            </w:pPr>
            <w:r>
              <w:rPr>
                <w:b/>
                <w:bCs/>
                <w:color w:val="000000"/>
                <w:sz w:val="20"/>
                <w:szCs w:val="20"/>
              </w:rPr>
              <w:t>0.885</w:t>
            </w:r>
          </w:p>
        </w:tc>
        <w:tc>
          <w:tcPr>
            <w:tcW w:w="985" w:type="dxa"/>
            <w:tcBorders>
              <w:top w:val="single" w:sz="4" w:space="0" w:color="auto"/>
              <w:left w:val="nil"/>
              <w:bottom w:val="single" w:sz="4" w:space="0" w:color="auto"/>
              <w:right w:val="nil"/>
            </w:tcBorders>
            <w:shd w:val="clear" w:color="auto" w:fill="auto"/>
            <w:vAlign w:val="center"/>
            <w:hideMark/>
          </w:tcPr>
          <w:p w14:paraId="0E999A70" w14:textId="08A16005" w:rsidR="001B1C04" w:rsidRPr="001051A3" w:rsidRDefault="0052033A" w:rsidP="00901DF3">
            <w:pPr>
              <w:spacing w:line="480" w:lineRule="auto"/>
              <w:jc w:val="center"/>
              <w:rPr>
                <w:b/>
                <w:bCs/>
                <w:color w:val="000000"/>
                <w:sz w:val="20"/>
                <w:szCs w:val="20"/>
              </w:rPr>
            </w:pPr>
            <w:r>
              <w:rPr>
                <w:b/>
                <w:bCs/>
                <w:color w:val="000000"/>
                <w:sz w:val="20"/>
                <w:szCs w:val="20"/>
              </w:rPr>
              <w:t>-0.184</w:t>
            </w:r>
          </w:p>
        </w:tc>
        <w:tc>
          <w:tcPr>
            <w:tcW w:w="1019" w:type="dxa"/>
            <w:tcBorders>
              <w:top w:val="single" w:sz="4" w:space="0" w:color="auto"/>
              <w:left w:val="nil"/>
              <w:bottom w:val="single" w:sz="4" w:space="0" w:color="auto"/>
              <w:right w:val="nil"/>
            </w:tcBorders>
            <w:shd w:val="clear" w:color="auto" w:fill="auto"/>
            <w:vAlign w:val="center"/>
            <w:hideMark/>
          </w:tcPr>
          <w:p w14:paraId="35C66FD0" w14:textId="762E921C" w:rsidR="001B1C04" w:rsidRPr="001051A3" w:rsidRDefault="0052033A" w:rsidP="00901DF3">
            <w:pPr>
              <w:spacing w:line="480" w:lineRule="auto"/>
              <w:jc w:val="center"/>
              <w:rPr>
                <w:b/>
                <w:bCs/>
                <w:color w:val="000000"/>
                <w:sz w:val="20"/>
                <w:szCs w:val="20"/>
              </w:rPr>
            </w:pPr>
            <w:r>
              <w:rPr>
                <w:b/>
                <w:bCs/>
                <w:color w:val="000000"/>
                <w:sz w:val="20"/>
                <w:szCs w:val="20"/>
              </w:rPr>
              <w:t>0.147</w:t>
            </w:r>
          </w:p>
        </w:tc>
        <w:tc>
          <w:tcPr>
            <w:tcW w:w="891" w:type="dxa"/>
            <w:tcBorders>
              <w:top w:val="single" w:sz="4" w:space="0" w:color="auto"/>
              <w:bottom w:val="single" w:sz="4" w:space="0" w:color="auto"/>
            </w:tcBorders>
            <w:vAlign w:val="center"/>
          </w:tcPr>
          <w:p w14:paraId="022D54E7" w14:textId="5183F56F" w:rsidR="001B1C04" w:rsidRPr="001051A3" w:rsidRDefault="0052033A" w:rsidP="00901DF3">
            <w:pPr>
              <w:spacing w:line="480" w:lineRule="auto"/>
            </w:pPr>
            <w:r>
              <w:rPr>
                <w:b/>
                <w:bCs/>
                <w:color w:val="000000"/>
                <w:sz w:val="20"/>
                <w:szCs w:val="20"/>
              </w:rPr>
              <w:t>-0.370</w:t>
            </w:r>
          </w:p>
        </w:tc>
        <w:tc>
          <w:tcPr>
            <w:tcW w:w="1148" w:type="dxa"/>
            <w:tcBorders>
              <w:top w:val="single" w:sz="4" w:space="0" w:color="auto"/>
              <w:bottom w:val="single" w:sz="4" w:space="0" w:color="auto"/>
              <w:right w:val="single" w:sz="4" w:space="0" w:color="auto"/>
            </w:tcBorders>
            <w:vAlign w:val="center"/>
          </w:tcPr>
          <w:p w14:paraId="201ED266" w14:textId="5DB9F1AA" w:rsidR="001B1C04" w:rsidRPr="001051A3" w:rsidRDefault="001B1C04" w:rsidP="00901DF3">
            <w:pPr>
              <w:spacing w:line="480" w:lineRule="auto"/>
              <w:jc w:val="center"/>
            </w:pPr>
            <w:r w:rsidRPr="001051A3">
              <w:rPr>
                <w:b/>
                <w:bCs/>
                <w:color w:val="000000"/>
                <w:sz w:val="20"/>
                <w:szCs w:val="20"/>
              </w:rPr>
              <w:t>0.</w:t>
            </w:r>
            <w:r w:rsidR="00FE682E">
              <w:rPr>
                <w:b/>
                <w:bCs/>
                <w:color w:val="000000"/>
                <w:sz w:val="20"/>
                <w:szCs w:val="20"/>
              </w:rPr>
              <w:t>499</w:t>
            </w:r>
          </w:p>
        </w:tc>
      </w:tr>
    </w:tbl>
    <w:p w14:paraId="2FD5730D" w14:textId="77777777" w:rsidR="00404922" w:rsidRDefault="00404922" w:rsidP="00901DF3">
      <w:pPr>
        <w:spacing w:line="480" w:lineRule="auto"/>
      </w:pPr>
    </w:p>
    <w:p w14:paraId="077ECBF5" w14:textId="74756F47" w:rsidR="00B41DE4" w:rsidRPr="0050741C" w:rsidRDefault="00404922" w:rsidP="00901DF3">
      <w:pPr>
        <w:spacing w:line="480" w:lineRule="auto"/>
        <w:jc w:val="both"/>
        <w:rPr>
          <w:lang w:val="en-US"/>
        </w:rPr>
      </w:pPr>
      <w:r w:rsidRPr="0050741C">
        <w:rPr>
          <w:lang w:val="en-US"/>
        </w:rPr>
        <w:t xml:space="preserve">Results </w:t>
      </w:r>
      <w:r w:rsidR="004C6A1E" w:rsidRPr="0050741C">
        <w:rPr>
          <w:lang w:val="en-US"/>
        </w:rPr>
        <w:t xml:space="preserve">should </w:t>
      </w:r>
      <w:r w:rsidRPr="0050741C">
        <w:rPr>
          <w:lang w:val="en-US"/>
        </w:rPr>
        <w:t xml:space="preserve">have </w:t>
      </w:r>
      <w:r w:rsidR="009A7E2A">
        <w:rPr>
          <w:lang w:val="en-US"/>
        </w:rPr>
        <w:t>various</w:t>
      </w:r>
      <w:r w:rsidRPr="0050741C">
        <w:rPr>
          <w:lang w:val="en-US"/>
        </w:rPr>
        <w:t xml:space="preserve"> implications for transport policy</w:t>
      </w:r>
      <w:r w:rsidR="00141FD2" w:rsidRPr="0050741C">
        <w:rPr>
          <w:lang w:val="en-US"/>
        </w:rPr>
        <w:t xml:space="preserve">, </w:t>
      </w:r>
      <w:r w:rsidR="00315E62" w:rsidRPr="0050741C">
        <w:rPr>
          <w:lang w:val="en-US"/>
        </w:rPr>
        <w:t xml:space="preserve">as they indicate </w:t>
      </w:r>
      <w:r w:rsidR="00B14D4C" w:rsidRPr="0050741C">
        <w:rPr>
          <w:lang w:val="en-US"/>
        </w:rPr>
        <w:t xml:space="preserve">that </w:t>
      </w:r>
      <w:r w:rsidR="00315E62" w:rsidRPr="0050741C">
        <w:rPr>
          <w:lang w:val="en-US"/>
        </w:rPr>
        <w:t xml:space="preserve">the </w:t>
      </w:r>
      <w:r w:rsidR="00B14D4C" w:rsidRPr="0050741C">
        <w:rPr>
          <w:lang w:val="en-US"/>
        </w:rPr>
        <w:t>automotive system relies on significant subsidies.</w:t>
      </w:r>
      <w:r w:rsidR="00315E62" w:rsidRPr="0050741C">
        <w:rPr>
          <w:lang w:val="en-US"/>
        </w:rPr>
        <w:t xml:space="preserve"> </w:t>
      </w:r>
      <w:r w:rsidR="00BC09BC" w:rsidRPr="0050741C">
        <w:rPr>
          <w:lang w:val="en-US"/>
        </w:rPr>
        <w:t>Active forms of transport, on the other hand, should be supported</w:t>
      </w:r>
      <w:r w:rsidR="00B14D4C" w:rsidRPr="0050741C">
        <w:rPr>
          <w:lang w:val="en-US"/>
        </w:rPr>
        <w:t xml:space="preserve"> for health reasons (The Lancet 2017</w:t>
      </w:r>
      <w:r w:rsidR="009A7E2A">
        <w:rPr>
          <w:lang w:val="en-US"/>
        </w:rPr>
        <w:t>)</w:t>
      </w:r>
      <w:r w:rsidR="00BC09BC" w:rsidRPr="0050741C">
        <w:rPr>
          <w:lang w:val="en-US"/>
        </w:rPr>
        <w:t xml:space="preserve">. </w:t>
      </w:r>
      <w:r w:rsidR="00B41DE4" w:rsidRPr="0050741C">
        <w:rPr>
          <w:lang w:val="en-US"/>
        </w:rPr>
        <w:t xml:space="preserve">This is feasible specifically in cities, where the substitutability of </w:t>
      </w:r>
      <w:r w:rsidR="00002FF7" w:rsidRPr="0050741C">
        <w:rPr>
          <w:lang w:val="en-US"/>
        </w:rPr>
        <w:t>transport modes</w:t>
      </w:r>
      <w:r w:rsidR="00B41DE4" w:rsidRPr="0050741C">
        <w:rPr>
          <w:lang w:val="en-US"/>
        </w:rPr>
        <w:t xml:space="preserve"> </w:t>
      </w:r>
      <w:r w:rsidR="00BC09BC" w:rsidRPr="0050741C">
        <w:rPr>
          <w:lang w:val="en-US"/>
        </w:rPr>
        <w:t xml:space="preserve">is high. </w:t>
      </w:r>
      <w:r w:rsidR="00002FF7" w:rsidRPr="0050741C">
        <w:rPr>
          <w:lang w:val="en-US"/>
        </w:rPr>
        <w:t>Policies supporting walking and cycling in cities will also be warranted from sy</w:t>
      </w:r>
      <w:r w:rsidR="0022347C" w:rsidRPr="0050741C">
        <w:rPr>
          <w:lang w:val="en-US"/>
        </w:rPr>
        <w:t>stemic development perspectives: T</w:t>
      </w:r>
      <w:r w:rsidR="00002FF7" w:rsidRPr="0050741C">
        <w:rPr>
          <w:lang w:val="en-US"/>
        </w:rPr>
        <w:t>here are widespread expectations for car numbers to increase</w:t>
      </w:r>
      <w:r w:rsidR="0022347C" w:rsidRPr="0050741C">
        <w:rPr>
          <w:lang w:val="en-US"/>
        </w:rPr>
        <w:t>, in a situation where transport systems face capacity limits in virtually all large cities</w:t>
      </w:r>
      <w:r w:rsidR="00002FF7" w:rsidRPr="0050741C">
        <w:rPr>
          <w:lang w:val="en-US"/>
        </w:rPr>
        <w:t xml:space="preserve"> (Dargay et al. 2007, EIA 2017).</w:t>
      </w:r>
      <w:r w:rsidR="002F6CD8" w:rsidRPr="0050741C">
        <w:rPr>
          <w:lang w:val="en-US"/>
        </w:rPr>
        <w:t xml:space="preserve"> </w:t>
      </w:r>
      <w:r w:rsidR="009A7E2A">
        <w:rPr>
          <w:lang w:val="en-US"/>
        </w:rPr>
        <w:t>EU c</w:t>
      </w:r>
      <w:r w:rsidR="002F6CD8" w:rsidRPr="0050741C">
        <w:rPr>
          <w:lang w:val="en-US"/>
        </w:rPr>
        <w:t xml:space="preserve">ost calculations </w:t>
      </w:r>
      <w:r w:rsidR="009A7E2A">
        <w:rPr>
          <w:lang w:val="en-US"/>
        </w:rPr>
        <w:t>as presented in</w:t>
      </w:r>
      <w:r w:rsidR="002F6CD8" w:rsidRPr="0050741C">
        <w:rPr>
          <w:lang w:val="en-US"/>
        </w:rPr>
        <w:t xml:space="preserve"> this paper suggest that to shift mobility from the car to the bicycle is worth about €0.30/pkm, and from the car to walking €0.48/pkm. </w:t>
      </w:r>
    </w:p>
    <w:p w14:paraId="691937CE" w14:textId="77777777" w:rsidR="00B41DE4" w:rsidRPr="0050741C" w:rsidRDefault="00B41DE4" w:rsidP="00901DF3">
      <w:pPr>
        <w:spacing w:line="480" w:lineRule="auto"/>
        <w:jc w:val="both"/>
        <w:rPr>
          <w:lang w:val="en-US"/>
        </w:rPr>
      </w:pPr>
    </w:p>
    <w:p w14:paraId="56F95150" w14:textId="3E307788" w:rsidR="0018676C" w:rsidRPr="00257C69" w:rsidRDefault="00E55365" w:rsidP="00901DF3">
      <w:pPr>
        <w:spacing w:line="480" w:lineRule="auto"/>
        <w:jc w:val="both"/>
        <w:rPr>
          <w:lang w:val="en-US"/>
        </w:rPr>
      </w:pPr>
      <w:r w:rsidRPr="0050741C">
        <w:rPr>
          <w:lang w:val="en-US"/>
        </w:rPr>
        <w:t xml:space="preserve">Despite its limitations, the importance of CBA in transport contexts can be expected to grow. </w:t>
      </w:r>
      <w:r w:rsidR="00344457" w:rsidRPr="0050741C">
        <w:rPr>
          <w:lang w:val="en-US"/>
        </w:rPr>
        <w:t>As this paper</w:t>
      </w:r>
      <w:r w:rsidR="009A7E2A">
        <w:rPr>
          <w:lang w:val="en-US"/>
        </w:rPr>
        <w:t xml:space="preserve"> argues</w:t>
      </w:r>
      <w:r w:rsidR="00344457" w:rsidRPr="0050741C">
        <w:rPr>
          <w:lang w:val="en-US"/>
        </w:rPr>
        <w:t xml:space="preserve">, </w:t>
      </w:r>
      <w:r w:rsidR="009A7E2A">
        <w:rPr>
          <w:lang w:val="en-US"/>
        </w:rPr>
        <w:t>CBA</w:t>
      </w:r>
      <w:r w:rsidR="00344457" w:rsidRPr="0050741C">
        <w:rPr>
          <w:lang w:val="en-US"/>
        </w:rPr>
        <w:t xml:space="preserve"> </w:t>
      </w:r>
      <w:r w:rsidR="009A7E2A">
        <w:rPr>
          <w:lang w:val="en-US"/>
        </w:rPr>
        <w:t>needs to</w:t>
      </w:r>
      <w:r w:rsidR="00344457" w:rsidRPr="0050741C">
        <w:rPr>
          <w:lang w:val="en-US"/>
        </w:rPr>
        <w:t xml:space="preserve"> be </w:t>
      </w:r>
      <w:r w:rsidR="002F6CD8" w:rsidRPr="0050741C">
        <w:rPr>
          <w:lang w:val="en-US"/>
        </w:rPr>
        <w:t xml:space="preserve">comprehensive and </w:t>
      </w:r>
      <w:r w:rsidR="00344457" w:rsidRPr="0050741C">
        <w:rPr>
          <w:lang w:val="en-US"/>
        </w:rPr>
        <w:t>comparative, specific</w:t>
      </w:r>
      <w:r w:rsidR="0022347C" w:rsidRPr="0050741C">
        <w:rPr>
          <w:lang w:val="en-US"/>
        </w:rPr>
        <w:t xml:space="preserve">ally in </w:t>
      </w:r>
      <w:r w:rsidR="0022347C" w:rsidRPr="0050741C">
        <w:rPr>
          <w:lang w:val="en-US"/>
        </w:rPr>
        <w:lastRenderedPageBreak/>
        <w:t>contexts where substitutable</w:t>
      </w:r>
      <w:r w:rsidR="00344457" w:rsidRPr="0050741C">
        <w:rPr>
          <w:lang w:val="en-US"/>
        </w:rPr>
        <w:t xml:space="preserve"> transport modes compete</w:t>
      </w:r>
      <w:r w:rsidR="00B14D4C" w:rsidRPr="0050741C">
        <w:rPr>
          <w:lang w:val="en-US"/>
        </w:rPr>
        <w:t xml:space="preserve"> for space</w:t>
      </w:r>
      <w:r w:rsidR="002F6CD8" w:rsidRPr="0050741C">
        <w:rPr>
          <w:lang w:val="en-US"/>
        </w:rPr>
        <w:t xml:space="preserve"> or prioritization</w:t>
      </w:r>
      <w:r w:rsidR="00344457" w:rsidRPr="0050741C">
        <w:rPr>
          <w:lang w:val="en-US"/>
        </w:rPr>
        <w:t xml:space="preserve">. </w:t>
      </w:r>
      <w:r w:rsidR="0022347C" w:rsidRPr="0050741C">
        <w:rPr>
          <w:lang w:val="en-US"/>
        </w:rPr>
        <w:t>Questions</w:t>
      </w:r>
      <w:r w:rsidR="00670F7C" w:rsidRPr="0050741C">
        <w:rPr>
          <w:lang w:val="en-US"/>
        </w:rPr>
        <w:t xml:space="preserve"> remain regarding the allocation of costs, specifically with regard to </w:t>
      </w:r>
      <w:r w:rsidR="00906AA1" w:rsidRPr="0050741C">
        <w:rPr>
          <w:lang w:val="en-US"/>
        </w:rPr>
        <w:t>spillover externalities (e.g. Jansson 1994)</w:t>
      </w:r>
      <w:r w:rsidR="00670F7C" w:rsidRPr="0050741C">
        <w:rPr>
          <w:lang w:val="en-US"/>
        </w:rPr>
        <w:t>. For example, as cars cause most accidents</w:t>
      </w:r>
      <w:r w:rsidR="0022347C" w:rsidRPr="0050741C">
        <w:rPr>
          <w:lang w:val="en-US"/>
        </w:rPr>
        <w:t>,</w:t>
      </w:r>
      <w:r w:rsidR="00670F7C" w:rsidRPr="0050741C">
        <w:rPr>
          <w:lang w:val="en-US"/>
        </w:rPr>
        <w:t xml:space="preserve"> </w:t>
      </w:r>
      <w:r w:rsidR="0022347C" w:rsidRPr="0050741C">
        <w:rPr>
          <w:lang w:val="en-US"/>
        </w:rPr>
        <w:t xml:space="preserve">it may be argued that </w:t>
      </w:r>
      <w:r w:rsidR="009A7E2A">
        <w:rPr>
          <w:lang w:val="en-US"/>
        </w:rPr>
        <w:t>the cost of</w:t>
      </w:r>
      <w:r w:rsidR="0022347C" w:rsidRPr="0050741C">
        <w:rPr>
          <w:lang w:val="en-US"/>
        </w:rPr>
        <w:t xml:space="preserve"> traffic density</w:t>
      </w:r>
      <w:r w:rsidR="00670F7C" w:rsidRPr="0050741C">
        <w:rPr>
          <w:lang w:val="en-US"/>
        </w:rPr>
        <w:t xml:space="preserve"> </w:t>
      </w:r>
      <w:r w:rsidR="0022347C" w:rsidRPr="0050741C">
        <w:rPr>
          <w:lang w:val="en-US"/>
        </w:rPr>
        <w:t xml:space="preserve">(collisions, perceived risks) </w:t>
      </w:r>
      <w:r w:rsidR="009A7E2A">
        <w:rPr>
          <w:lang w:val="en-US"/>
        </w:rPr>
        <w:t>is</w:t>
      </w:r>
      <w:r w:rsidR="0022347C" w:rsidRPr="0050741C">
        <w:rPr>
          <w:lang w:val="en-US"/>
        </w:rPr>
        <w:t xml:space="preserve"> attributable to cars. </w:t>
      </w:r>
      <w:r w:rsidR="0022347C" w:rsidRPr="00257C69">
        <w:rPr>
          <w:lang w:val="en-US"/>
        </w:rPr>
        <w:t>In other words, current CBA analyses accept that a considerable part of car-related externalities represents a private cost to ac</w:t>
      </w:r>
      <w:r w:rsidR="005E63D7" w:rsidRPr="00257C69">
        <w:rPr>
          <w:lang w:val="en-US"/>
        </w:rPr>
        <w:t>tive transport users.</w:t>
      </w:r>
    </w:p>
    <w:p w14:paraId="35B145ED" w14:textId="77777777" w:rsidR="0018676C" w:rsidRPr="00257C69" w:rsidRDefault="0018676C" w:rsidP="00901DF3">
      <w:pPr>
        <w:spacing w:line="480" w:lineRule="auto"/>
        <w:rPr>
          <w:lang w:val="en-US"/>
        </w:rPr>
      </w:pPr>
    </w:p>
    <w:p w14:paraId="6CD46318" w14:textId="77777777" w:rsidR="00906AA1" w:rsidRPr="00633B49" w:rsidRDefault="00094292" w:rsidP="00901DF3">
      <w:pPr>
        <w:spacing w:line="480" w:lineRule="auto"/>
        <w:rPr>
          <w:b/>
          <w:lang w:val="en-US"/>
        </w:rPr>
      </w:pPr>
      <w:r w:rsidRPr="00633B49">
        <w:rPr>
          <w:b/>
          <w:lang w:val="en-US"/>
        </w:rPr>
        <w:t>6</w:t>
      </w:r>
      <w:r w:rsidR="00906AA1" w:rsidRPr="00633B49">
        <w:rPr>
          <w:b/>
          <w:lang w:val="en-US"/>
        </w:rPr>
        <w:t>. Conclusions</w:t>
      </w:r>
    </w:p>
    <w:p w14:paraId="52964547" w14:textId="435673A4" w:rsidR="00906AA1" w:rsidRDefault="003275B1" w:rsidP="00901DF3">
      <w:pPr>
        <w:spacing w:line="480" w:lineRule="auto"/>
        <w:jc w:val="both"/>
        <w:rPr>
          <w:lang w:val="en-US"/>
        </w:rPr>
      </w:pPr>
      <w:r w:rsidRPr="006051FC">
        <w:rPr>
          <w:lang w:val="en-US"/>
        </w:rPr>
        <w:t>This paper reviewed different transport</w:t>
      </w:r>
      <w:r w:rsidR="006B40B8" w:rsidRPr="006051FC">
        <w:rPr>
          <w:lang w:val="en-US"/>
        </w:rPr>
        <w:t xml:space="preserve"> CBA frameworks</w:t>
      </w:r>
      <w:r w:rsidRPr="006051FC">
        <w:rPr>
          <w:lang w:val="en-US"/>
        </w:rPr>
        <w:t xml:space="preserve">, concluding </w:t>
      </w:r>
      <w:r w:rsidR="00F703BF" w:rsidRPr="006051FC">
        <w:rPr>
          <w:lang w:val="en-US"/>
        </w:rPr>
        <w:t xml:space="preserve">that </w:t>
      </w:r>
      <w:r w:rsidR="00FD08A3">
        <w:rPr>
          <w:lang w:val="en-US"/>
        </w:rPr>
        <w:t>these</w:t>
      </w:r>
      <w:r w:rsidR="00F703BF" w:rsidRPr="006051FC">
        <w:rPr>
          <w:lang w:val="en-US"/>
        </w:rPr>
        <w:t xml:space="preserve"> </w:t>
      </w:r>
      <w:r w:rsidR="006B40B8" w:rsidRPr="006051FC">
        <w:rPr>
          <w:lang w:val="en-US"/>
        </w:rPr>
        <w:t xml:space="preserve">omit </w:t>
      </w:r>
      <w:r w:rsidR="00FD08A3">
        <w:rPr>
          <w:lang w:val="en-US"/>
        </w:rPr>
        <w:t xml:space="preserve">important </w:t>
      </w:r>
      <w:r w:rsidR="006B40B8" w:rsidRPr="006051FC">
        <w:rPr>
          <w:lang w:val="en-US"/>
        </w:rPr>
        <w:t xml:space="preserve">cost parameters. As </w:t>
      </w:r>
      <w:r w:rsidR="00FD08A3">
        <w:rPr>
          <w:lang w:val="en-US"/>
        </w:rPr>
        <w:t>these represent</w:t>
      </w:r>
      <w:r w:rsidR="006B40B8" w:rsidRPr="006051FC">
        <w:rPr>
          <w:lang w:val="en-US"/>
        </w:rPr>
        <w:t xml:space="preserve"> significant negative externalities, a central conclusion is that </w:t>
      </w:r>
      <w:r w:rsidRPr="006051FC">
        <w:rPr>
          <w:lang w:val="en-US"/>
        </w:rPr>
        <w:t>transport investment projects</w:t>
      </w:r>
      <w:r w:rsidR="006B40B8" w:rsidRPr="006051FC">
        <w:rPr>
          <w:lang w:val="en-US"/>
        </w:rPr>
        <w:t xml:space="preserve"> in the Eur</w:t>
      </w:r>
      <w:r w:rsidR="003E2D3A" w:rsidRPr="006051FC">
        <w:rPr>
          <w:lang w:val="en-US"/>
        </w:rPr>
        <w:t xml:space="preserve">opean Union </w:t>
      </w:r>
      <w:r w:rsidR="000D7004" w:rsidRPr="006051FC">
        <w:rPr>
          <w:lang w:val="en-US"/>
        </w:rPr>
        <w:t>systematically underestimate</w:t>
      </w:r>
      <w:r w:rsidR="006F0B47" w:rsidRPr="006051FC">
        <w:rPr>
          <w:lang w:val="en-US"/>
        </w:rPr>
        <w:t xml:space="preserve"> </w:t>
      </w:r>
      <w:r w:rsidR="005878DF" w:rsidRPr="006051FC">
        <w:rPr>
          <w:lang w:val="en-US"/>
        </w:rPr>
        <w:t xml:space="preserve">the cost of </w:t>
      </w:r>
      <w:r w:rsidR="006F0B47" w:rsidRPr="006051FC">
        <w:rPr>
          <w:lang w:val="en-US"/>
        </w:rPr>
        <w:t>automobility</w:t>
      </w:r>
      <w:r w:rsidRPr="006051FC">
        <w:rPr>
          <w:lang w:val="en-US"/>
        </w:rPr>
        <w:t>. To</w:t>
      </w:r>
      <w:r w:rsidR="003E2D3A" w:rsidRPr="006051FC">
        <w:rPr>
          <w:lang w:val="en-US"/>
        </w:rPr>
        <w:t xml:space="preserve"> become more inclusive</w:t>
      </w:r>
      <w:r w:rsidRPr="006051FC">
        <w:rPr>
          <w:lang w:val="en-US"/>
        </w:rPr>
        <w:t xml:space="preserve">, CBA </w:t>
      </w:r>
      <w:r w:rsidR="006F0B47" w:rsidRPr="006051FC">
        <w:rPr>
          <w:lang w:val="en-US"/>
        </w:rPr>
        <w:t>frameworks need to be expanded</w:t>
      </w:r>
      <w:r w:rsidRPr="006051FC">
        <w:rPr>
          <w:lang w:val="en-US"/>
        </w:rPr>
        <w:t xml:space="preserve">. Furthermore, in urban transport planning contexts where transport </w:t>
      </w:r>
      <w:r w:rsidR="006F0B47" w:rsidRPr="006051FC">
        <w:rPr>
          <w:lang w:val="en-US"/>
        </w:rPr>
        <w:t xml:space="preserve">mode </w:t>
      </w:r>
      <w:r w:rsidRPr="006051FC">
        <w:rPr>
          <w:lang w:val="en-US"/>
        </w:rPr>
        <w:t xml:space="preserve">choices are often substitutable, CBA assessments should be comparative to adequately consider the implications of </w:t>
      </w:r>
      <w:r w:rsidR="00FD08A3">
        <w:rPr>
          <w:lang w:val="en-US"/>
        </w:rPr>
        <w:t>transport mode prioritization.</w:t>
      </w:r>
      <w:r w:rsidR="004D4DD6" w:rsidRPr="006051FC">
        <w:rPr>
          <w:lang w:val="en-US"/>
        </w:rPr>
        <w:t xml:space="preserve"> </w:t>
      </w:r>
      <w:r w:rsidR="006F0B47" w:rsidRPr="006051FC">
        <w:rPr>
          <w:lang w:val="en-US"/>
        </w:rPr>
        <w:t>Where</w:t>
      </w:r>
      <w:r w:rsidR="001E60C2" w:rsidRPr="006051FC">
        <w:rPr>
          <w:lang w:val="en-US"/>
        </w:rPr>
        <w:t xml:space="preserve"> CBA </w:t>
      </w:r>
      <w:r w:rsidR="006F0B47" w:rsidRPr="006051FC">
        <w:rPr>
          <w:lang w:val="en-US"/>
        </w:rPr>
        <w:t>is used in non-comparative ways, and with a view to address growth in individual motorized transportation, it has a self-fulfilling nature</w:t>
      </w:r>
      <w:r w:rsidR="000D7004" w:rsidRPr="006051FC">
        <w:rPr>
          <w:lang w:val="en-US"/>
        </w:rPr>
        <w:t xml:space="preserve">, i.e. the conclusion will often be that </w:t>
      </w:r>
      <w:r w:rsidR="006F0B47" w:rsidRPr="006051FC">
        <w:rPr>
          <w:lang w:val="en-US"/>
        </w:rPr>
        <w:t>adding transport infrastructure is meaningful</w:t>
      </w:r>
      <w:r w:rsidR="001E60C2" w:rsidRPr="006051FC">
        <w:rPr>
          <w:lang w:val="en-US"/>
        </w:rPr>
        <w:t xml:space="preserve">. </w:t>
      </w:r>
      <w:r w:rsidR="006F0B47" w:rsidRPr="006051FC">
        <w:rPr>
          <w:lang w:val="en-US"/>
        </w:rPr>
        <w:t xml:space="preserve">Fundamentally different insights </w:t>
      </w:r>
      <w:r w:rsidR="00FD08A3">
        <w:rPr>
          <w:lang w:val="en-US"/>
        </w:rPr>
        <w:t>may be gained from</w:t>
      </w:r>
      <w:r w:rsidR="000D7004" w:rsidRPr="006051FC">
        <w:rPr>
          <w:lang w:val="en-US"/>
        </w:rPr>
        <w:t xml:space="preserve"> more</w:t>
      </w:r>
      <w:r w:rsidR="006F0B47" w:rsidRPr="006051FC">
        <w:rPr>
          <w:lang w:val="en-US"/>
        </w:rPr>
        <w:t xml:space="preserve"> </w:t>
      </w:r>
      <w:r w:rsidR="001E60C2" w:rsidRPr="006051FC">
        <w:rPr>
          <w:lang w:val="en-US"/>
        </w:rPr>
        <w:t>comprehensive</w:t>
      </w:r>
      <w:r w:rsidR="006F0B47" w:rsidRPr="006051FC">
        <w:rPr>
          <w:lang w:val="en-US"/>
        </w:rPr>
        <w:t xml:space="preserve"> and comparative</w:t>
      </w:r>
      <w:r w:rsidR="001E60C2" w:rsidRPr="006051FC">
        <w:rPr>
          <w:lang w:val="en-US"/>
        </w:rPr>
        <w:t xml:space="preserve"> CBA framework</w:t>
      </w:r>
      <w:r w:rsidR="006F0B47" w:rsidRPr="006051FC">
        <w:rPr>
          <w:lang w:val="en-US"/>
        </w:rPr>
        <w:t xml:space="preserve">s. As this research indicates, automobility </w:t>
      </w:r>
      <w:r w:rsidR="001E60C2" w:rsidRPr="006051FC">
        <w:rPr>
          <w:lang w:val="en-US"/>
        </w:rPr>
        <w:t xml:space="preserve">is </w:t>
      </w:r>
      <w:r w:rsidR="000D7004" w:rsidRPr="006051FC">
        <w:rPr>
          <w:lang w:val="en-US"/>
        </w:rPr>
        <w:t xml:space="preserve">heavily </w:t>
      </w:r>
      <w:r w:rsidR="006051FC" w:rsidRPr="006051FC">
        <w:rPr>
          <w:lang w:val="en-US"/>
        </w:rPr>
        <w:t>subsidized</w:t>
      </w:r>
      <w:r w:rsidR="000D7004" w:rsidRPr="006051FC">
        <w:rPr>
          <w:lang w:val="en-US"/>
        </w:rPr>
        <w:t xml:space="preserve"> in the European Union</w:t>
      </w:r>
      <w:r w:rsidR="001E60C2" w:rsidRPr="006051FC">
        <w:rPr>
          <w:lang w:val="en-US"/>
        </w:rPr>
        <w:t>,</w:t>
      </w:r>
      <w:r w:rsidR="000D7004" w:rsidRPr="006051FC">
        <w:rPr>
          <w:lang w:val="en-US"/>
        </w:rPr>
        <w:t xml:space="preserve"> at an estimated €500 billion per year,</w:t>
      </w:r>
      <w:r w:rsidR="001E60C2" w:rsidRPr="006051FC">
        <w:rPr>
          <w:lang w:val="en-US"/>
        </w:rPr>
        <w:t xml:space="preserve"> </w:t>
      </w:r>
      <w:r w:rsidR="006F0B47" w:rsidRPr="006051FC">
        <w:rPr>
          <w:lang w:val="en-US"/>
        </w:rPr>
        <w:t>while active transportation represents a benefit to society</w:t>
      </w:r>
      <w:r w:rsidR="000D7004" w:rsidRPr="006051FC">
        <w:rPr>
          <w:lang w:val="en-US"/>
        </w:rPr>
        <w:t xml:space="preserve"> currently worth an annual €24 billion (cycling) and €66 billion (walking)</w:t>
      </w:r>
      <w:r w:rsidR="006F0B47" w:rsidRPr="006051FC">
        <w:rPr>
          <w:lang w:val="en-US"/>
        </w:rPr>
        <w:t xml:space="preserve">. </w:t>
      </w:r>
      <w:r w:rsidR="000D7004" w:rsidRPr="006051FC">
        <w:rPr>
          <w:lang w:val="en-US"/>
        </w:rPr>
        <w:t>Specifically</w:t>
      </w:r>
      <w:r w:rsidR="006F0B47" w:rsidRPr="006051FC">
        <w:rPr>
          <w:lang w:val="en-US"/>
        </w:rPr>
        <w:t xml:space="preserve"> in cities,</w:t>
      </w:r>
      <w:r w:rsidR="00624374" w:rsidRPr="006051FC">
        <w:rPr>
          <w:lang w:val="en-US"/>
        </w:rPr>
        <w:t xml:space="preserve"> the long-standing focus on automobility</w:t>
      </w:r>
      <w:r w:rsidR="006F0B47" w:rsidRPr="006051FC">
        <w:rPr>
          <w:lang w:val="en-US"/>
        </w:rPr>
        <w:t xml:space="preserve"> </w:t>
      </w:r>
      <w:r w:rsidR="000D7004" w:rsidRPr="006051FC">
        <w:rPr>
          <w:lang w:val="en-US"/>
        </w:rPr>
        <w:t xml:space="preserve">as the </w:t>
      </w:r>
      <w:r w:rsidR="001F7A3B" w:rsidRPr="006051FC">
        <w:rPr>
          <w:lang w:val="en-US"/>
        </w:rPr>
        <w:t>favored</w:t>
      </w:r>
      <w:r w:rsidR="000D7004" w:rsidRPr="006051FC">
        <w:rPr>
          <w:lang w:val="en-US"/>
        </w:rPr>
        <w:t xml:space="preserve"> transport mode </w:t>
      </w:r>
      <w:r w:rsidR="006F0B47" w:rsidRPr="006051FC">
        <w:rPr>
          <w:lang w:val="en-US"/>
        </w:rPr>
        <w:t xml:space="preserve">should </w:t>
      </w:r>
      <w:r w:rsidR="00624374" w:rsidRPr="006051FC">
        <w:rPr>
          <w:lang w:val="en-US"/>
        </w:rPr>
        <w:t xml:space="preserve">consequently </w:t>
      </w:r>
      <w:r w:rsidR="000D7004" w:rsidRPr="006051FC">
        <w:rPr>
          <w:lang w:val="en-US"/>
        </w:rPr>
        <w:t>change.</w:t>
      </w:r>
    </w:p>
    <w:p w14:paraId="095C78B8" w14:textId="77777777" w:rsidR="005A3899" w:rsidRDefault="005A3899" w:rsidP="00901DF3">
      <w:pPr>
        <w:spacing w:line="480" w:lineRule="auto"/>
        <w:jc w:val="both"/>
        <w:rPr>
          <w:lang w:val="en-US"/>
        </w:rPr>
      </w:pPr>
    </w:p>
    <w:p w14:paraId="43B077F7" w14:textId="524D6506" w:rsidR="005A3899" w:rsidRPr="006051FC" w:rsidRDefault="005A3899" w:rsidP="00901DF3">
      <w:pPr>
        <w:spacing w:line="480" w:lineRule="auto"/>
        <w:jc w:val="both"/>
        <w:rPr>
          <w:lang w:val="en-US"/>
        </w:rPr>
      </w:pPr>
      <w:r>
        <w:rPr>
          <w:lang w:val="en-US"/>
        </w:rPr>
        <w:lastRenderedPageBreak/>
        <w:t xml:space="preserve">Future research may seek to </w:t>
      </w:r>
      <w:r w:rsidR="001F7A3B">
        <w:rPr>
          <w:lang w:val="en-US"/>
        </w:rPr>
        <w:t xml:space="preserve">improve the database for various parameters to refine and validate cost estimates. This may also include a better distinction of cost distributions, for instance between different age or population groups. </w:t>
      </w:r>
      <w:r w:rsidR="00FD08A3">
        <w:rPr>
          <w:lang w:val="en-US"/>
        </w:rPr>
        <w:t>It is</w:t>
      </w:r>
      <w:r w:rsidR="001F7A3B">
        <w:rPr>
          <w:lang w:val="en-US"/>
        </w:rPr>
        <w:t xml:space="preserve"> </w:t>
      </w:r>
      <w:r w:rsidR="00FD08A3">
        <w:rPr>
          <w:lang w:val="en-US"/>
        </w:rPr>
        <w:t>also</w:t>
      </w:r>
      <w:r w:rsidR="001F7A3B">
        <w:rPr>
          <w:lang w:val="en-US"/>
        </w:rPr>
        <w:t xml:space="preserve"> warranted for comparative CBA to include public transport.</w:t>
      </w:r>
    </w:p>
    <w:p w14:paraId="69EC9D3E" w14:textId="77777777" w:rsidR="0018676C" w:rsidRPr="006051FC" w:rsidRDefault="0018676C" w:rsidP="00901DF3">
      <w:pPr>
        <w:spacing w:line="480" w:lineRule="auto"/>
        <w:rPr>
          <w:lang w:val="en-US"/>
        </w:rPr>
      </w:pPr>
    </w:p>
    <w:p w14:paraId="3559354E" w14:textId="77777777" w:rsidR="00906AA1" w:rsidRPr="006051FC" w:rsidRDefault="00906AA1" w:rsidP="00901DF3">
      <w:pPr>
        <w:spacing w:line="480" w:lineRule="auto"/>
        <w:outlineLvl w:val="0"/>
        <w:rPr>
          <w:b/>
          <w:lang w:val="en-US"/>
        </w:rPr>
      </w:pPr>
      <w:r w:rsidRPr="006051FC">
        <w:rPr>
          <w:b/>
          <w:lang w:val="en-US"/>
        </w:rPr>
        <w:t>References</w:t>
      </w:r>
    </w:p>
    <w:p w14:paraId="498DFFF2" w14:textId="50154646" w:rsidR="00870589" w:rsidRPr="006051FC" w:rsidRDefault="00870589" w:rsidP="00901DF3">
      <w:pPr>
        <w:spacing w:after="120" w:line="480" w:lineRule="auto"/>
        <w:ind w:left="737" w:hanging="737"/>
        <w:rPr>
          <w:bCs/>
          <w:lang w:val="en-US"/>
        </w:rPr>
      </w:pPr>
      <w:r w:rsidRPr="006051FC">
        <w:rPr>
          <w:bCs/>
          <w:lang w:val="en-US"/>
        </w:rPr>
        <w:t xml:space="preserve">ADAC (2017). </w:t>
      </w:r>
      <w:r w:rsidR="00834F40" w:rsidRPr="006051FC">
        <w:rPr>
          <w:bCs/>
          <w:lang w:val="en-US"/>
        </w:rPr>
        <w:t xml:space="preserve">Die Top 10 in den </w:t>
      </w:r>
      <w:r w:rsidRPr="006051FC">
        <w:rPr>
          <w:bCs/>
          <w:lang w:val="en-US"/>
        </w:rPr>
        <w:t xml:space="preserve">Autokosten. Available: </w:t>
      </w:r>
      <w:hyperlink r:id="rId11" w:history="1">
        <w:r w:rsidRPr="006051FC">
          <w:rPr>
            <w:rStyle w:val="Hyperlink"/>
            <w:bCs/>
            <w:lang w:val="en-US"/>
          </w:rPr>
          <w:t>https://www.adac.de/infotestrat/autodatenbank/autokosten/top-10-autokosten/default.aspx?ComponentId=35261&amp;SourcePageId=0</w:t>
        </w:r>
      </w:hyperlink>
      <w:r w:rsidRPr="006051FC">
        <w:rPr>
          <w:bCs/>
          <w:lang w:val="en-US"/>
        </w:rPr>
        <w:t xml:space="preserve"> Accessed 13 March 2018.</w:t>
      </w:r>
    </w:p>
    <w:p w14:paraId="3A404F2A" w14:textId="2F2CEEBD" w:rsidR="00870589" w:rsidRPr="005C31EB" w:rsidRDefault="001F1588" w:rsidP="00901DF3">
      <w:pPr>
        <w:spacing w:after="120" w:line="480" w:lineRule="auto"/>
        <w:ind w:left="737" w:hanging="737"/>
      </w:pPr>
      <w:r w:rsidRPr="006051FC">
        <w:rPr>
          <w:lang w:val="en-US"/>
        </w:rPr>
        <w:t xml:space="preserve">Aldred, R. </w:t>
      </w:r>
      <w:r w:rsidR="000D7004" w:rsidRPr="006051FC">
        <w:rPr>
          <w:lang w:val="en-US"/>
        </w:rPr>
        <w:t>(</w:t>
      </w:r>
      <w:r w:rsidRPr="006051FC">
        <w:rPr>
          <w:lang w:val="en-US"/>
        </w:rPr>
        <w:t>2013</w:t>
      </w:r>
      <w:r w:rsidR="000D7004" w:rsidRPr="006051FC">
        <w:rPr>
          <w:lang w:val="en-US"/>
        </w:rPr>
        <w:t>)</w:t>
      </w:r>
      <w:r w:rsidRPr="006051FC">
        <w:rPr>
          <w:lang w:val="en-US"/>
        </w:rPr>
        <w:t xml:space="preserve">. Incompetent or Too Competent? Negotiating Everyday Cycling Identities in a Motor Dominated Society. </w:t>
      </w:r>
      <w:r w:rsidRPr="005C31EB">
        <w:t>Mobilities 8(2): 252-271.</w:t>
      </w:r>
    </w:p>
    <w:p w14:paraId="18FBC240" w14:textId="42849965" w:rsidR="001F1588" w:rsidRPr="00452D11" w:rsidRDefault="001F1588" w:rsidP="00901DF3">
      <w:pPr>
        <w:pStyle w:val="EndNoteBibliography"/>
        <w:spacing w:after="120" w:line="480" w:lineRule="auto"/>
        <w:ind w:left="737" w:hanging="737"/>
        <w:rPr>
          <w:szCs w:val="24"/>
          <w:lang w:val="en-GB"/>
        </w:rPr>
      </w:pPr>
      <w:r w:rsidRPr="005C31EB">
        <w:rPr>
          <w:szCs w:val="24"/>
          <w:lang w:val="de-DE"/>
        </w:rPr>
        <w:t>Andersen</w:t>
      </w:r>
      <w:r w:rsidR="000D7004" w:rsidRPr="005C31EB">
        <w:rPr>
          <w:szCs w:val="24"/>
          <w:lang w:val="de-DE"/>
        </w:rPr>
        <w:t>,</w:t>
      </w:r>
      <w:r w:rsidRPr="005C31EB">
        <w:rPr>
          <w:szCs w:val="24"/>
          <w:lang w:val="de-DE"/>
        </w:rPr>
        <w:t xml:space="preserve"> L</w:t>
      </w:r>
      <w:r w:rsidR="000D7004" w:rsidRPr="005C31EB">
        <w:rPr>
          <w:szCs w:val="24"/>
          <w:lang w:val="de-DE"/>
        </w:rPr>
        <w:t>.</w:t>
      </w:r>
      <w:r w:rsidRPr="005C31EB">
        <w:rPr>
          <w:szCs w:val="24"/>
          <w:lang w:val="de-DE"/>
        </w:rPr>
        <w:t>B</w:t>
      </w:r>
      <w:r w:rsidR="000D7004" w:rsidRPr="005C31EB">
        <w:rPr>
          <w:szCs w:val="24"/>
          <w:lang w:val="de-DE"/>
        </w:rPr>
        <w:t>.</w:t>
      </w:r>
      <w:r w:rsidRPr="005C31EB">
        <w:rPr>
          <w:szCs w:val="24"/>
          <w:lang w:val="de-DE"/>
        </w:rPr>
        <w:t>, Schnohr</w:t>
      </w:r>
      <w:r w:rsidR="000D7004" w:rsidRPr="005C31EB">
        <w:rPr>
          <w:szCs w:val="24"/>
          <w:lang w:val="de-DE"/>
        </w:rPr>
        <w:t>,</w:t>
      </w:r>
      <w:r w:rsidRPr="005C31EB">
        <w:rPr>
          <w:szCs w:val="24"/>
          <w:lang w:val="de-DE"/>
        </w:rPr>
        <w:t xml:space="preserve"> P</w:t>
      </w:r>
      <w:r w:rsidR="000D7004" w:rsidRPr="005C31EB">
        <w:rPr>
          <w:szCs w:val="24"/>
          <w:lang w:val="de-DE"/>
        </w:rPr>
        <w:t>.</w:t>
      </w:r>
      <w:r w:rsidRPr="005C31EB">
        <w:rPr>
          <w:szCs w:val="24"/>
          <w:lang w:val="de-DE"/>
        </w:rPr>
        <w:t>, Schroll</w:t>
      </w:r>
      <w:r w:rsidR="000D7004" w:rsidRPr="005C31EB">
        <w:rPr>
          <w:szCs w:val="24"/>
          <w:lang w:val="de-DE"/>
        </w:rPr>
        <w:t>,</w:t>
      </w:r>
      <w:r w:rsidRPr="005C31EB">
        <w:rPr>
          <w:szCs w:val="24"/>
          <w:lang w:val="de-DE"/>
        </w:rPr>
        <w:t xml:space="preserve"> M</w:t>
      </w:r>
      <w:r w:rsidR="000D7004" w:rsidRPr="005C31EB">
        <w:rPr>
          <w:szCs w:val="24"/>
          <w:lang w:val="de-DE"/>
        </w:rPr>
        <w:t>.</w:t>
      </w:r>
      <w:r w:rsidR="00E73146">
        <w:rPr>
          <w:szCs w:val="24"/>
          <w:lang w:val="de-DE"/>
        </w:rPr>
        <w:t xml:space="preserve"> and </w:t>
      </w:r>
      <w:r w:rsidRPr="005C31EB">
        <w:rPr>
          <w:szCs w:val="24"/>
          <w:lang w:val="de-DE"/>
        </w:rPr>
        <w:t>Hein</w:t>
      </w:r>
      <w:r w:rsidR="000D7004" w:rsidRPr="005C31EB">
        <w:rPr>
          <w:szCs w:val="24"/>
          <w:lang w:val="de-DE"/>
        </w:rPr>
        <w:t>,</w:t>
      </w:r>
      <w:r w:rsidRPr="005C31EB">
        <w:rPr>
          <w:szCs w:val="24"/>
          <w:lang w:val="de-DE"/>
        </w:rPr>
        <w:t xml:space="preserve"> H</w:t>
      </w:r>
      <w:r w:rsidR="000D7004" w:rsidRPr="005C31EB">
        <w:rPr>
          <w:szCs w:val="24"/>
          <w:lang w:val="de-DE"/>
        </w:rPr>
        <w:t>.</w:t>
      </w:r>
      <w:r w:rsidRPr="005C31EB">
        <w:rPr>
          <w:szCs w:val="24"/>
          <w:lang w:val="de-DE"/>
        </w:rPr>
        <w:t>O.</w:t>
      </w:r>
      <w:r w:rsidR="000D7004" w:rsidRPr="005C31EB">
        <w:rPr>
          <w:szCs w:val="24"/>
          <w:lang w:val="de-DE"/>
        </w:rPr>
        <w:t xml:space="preserve"> (2000).</w:t>
      </w:r>
      <w:r w:rsidRPr="005C31EB">
        <w:rPr>
          <w:szCs w:val="24"/>
          <w:lang w:val="de-DE"/>
        </w:rPr>
        <w:t xml:space="preserve"> </w:t>
      </w:r>
      <w:r w:rsidRPr="00771A11">
        <w:rPr>
          <w:szCs w:val="24"/>
          <w:lang w:val="en-GB"/>
        </w:rPr>
        <w:t xml:space="preserve">All-cause mortality associated with physical activity during leisure time, work, sports, and cycling to work. </w:t>
      </w:r>
      <w:r w:rsidRPr="00771A11">
        <w:rPr>
          <w:i/>
          <w:szCs w:val="24"/>
          <w:lang w:val="en-GB"/>
        </w:rPr>
        <w:t>ArchInternMed</w:t>
      </w:r>
      <w:r w:rsidRPr="00771A11">
        <w:rPr>
          <w:szCs w:val="24"/>
          <w:lang w:val="en-GB"/>
        </w:rPr>
        <w:t xml:space="preserve"> 2000; 160: 1621-8.</w:t>
      </w:r>
    </w:p>
    <w:p w14:paraId="0D57D7C3" w14:textId="24A1F463" w:rsidR="001F1588" w:rsidRPr="006051FC" w:rsidRDefault="001F1588" w:rsidP="00901DF3">
      <w:pPr>
        <w:spacing w:after="120" w:line="480" w:lineRule="auto"/>
        <w:ind w:left="737" w:hanging="737"/>
        <w:rPr>
          <w:lang w:val="en-US"/>
        </w:rPr>
      </w:pPr>
      <w:r w:rsidRPr="005C31EB">
        <w:rPr>
          <w:lang w:val="en-US"/>
        </w:rPr>
        <w:t xml:space="preserve">Annema, J.A., Koopmans, C., Van Wee, B. </w:t>
      </w:r>
      <w:r w:rsidR="000D7004" w:rsidRPr="005C31EB">
        <w:rPr>
          <w:lang w:val="en-US"/>
        </w:rPr>
        <w:t>(</w:t>
      </w:r>
      <w:r w:rsidRPr="005C31EB">
        <w:rPr>
          <w:lang w:val="en-US"/>
        </w:rPr>
        <w:t>2007</w:t>
      </w:r>
      <w:r w:rsidR="000D7004" w:rsidRPr="005C31EB">
        <w:rPr>
          <w:lang w:val="en-US"/>
        </w:rPr>
        <w:t>).</w:t>
      </w:r>
      <w:r w:rsidRPr="005C31EB">
        <w:rPr>
          <w:lang w:val="en-US"/>
        </w:rPr>
        <w:t xml:space="preserve"> </w:t>
      </w:r>
      <w:r w:rsidRPr="006051FC">
        <w:rPr>
          <w:lang w:val="en-US"/>
        </w:rPr>
        <w:t xml:space="preserve">Evaluating Transport Infrastructure Investments: The Dutch Experience with a Standardized Approach, </w:t>
      </w:r>
      <w:r w:rsidRPr="006051FC">
        <w:rPr>
          <w:i/>
          <w:lang w:val="en-US"/>
        </w:rPr>
        <w:t>Transport Reviews,</w:t>
      </w:r>
      <w:r w:rsidRPr="006051FC">
        <w:rPr>
          <w:lang w:val="en-US"/>
        </w:rPr>
        <w:t xml:space="preserve"> 27:2, 125-150</w:t>
      </w:r>
      <w:r w:rsidR="00682D03" w:rsidRPr="006051FC">
        <w:rPr>
          <w:lang w:val="en-US"/>
        </w:rPr>
        <w:t>.</w:t>
      </w:r>
    </w:p>
    <w:p w14:paraId="70FFE931" w14:textId="6FEB5E3B" w:rsidR="00682D03" w:rsidRPr="006051FC" w:rsidRDefault="00682D03" w:rsidP="00901DF3">
      <w:pPr>
        <w:spacing w:after="120" w:line="480" w:lineRule="auto"/>
        <w:ind w:left="737" w:hanging="737"/>
        <w:rPr>
          <w:lang w:val="en-US"/>
        </w:rPr>
      </w:pPr>
      <w:r>
        <w:rPr>
          <w:bCs/>
        </w:rPr>
        <w:t xml:space="preserve">Axhausen, K.W., Ehreke, I., Glemser, A., Hess, S., Jödden, C., Nagel, K., Sauer, A. and Weis, C. </w:t>
      </w:r>
      <w:r w:rsidRPr="006B2C20">
        <w:rPr>
          <w:bCs/>
        </w:rPr>
        <w:t xml:space="preserve"> </w:t>
      </w:r>
      <w:r>
        <w:rPr>
          <w:bCs/>
        </w:rPr>
        <w:t>(</w:t>
      </w:r>
      <w:r w:rsidRPr="006B2C20">
        <w:rPr>
          <w:bCs/>
        </w:rPr>
        <w:t>2015</w:t>
      </w:r>
      <w:r>
        <w:rPr>
          <w:bCs/>
        </w:rPr>
        <w:t>)</w:t>
      </w:r>
      <w:r w:rsidRPr="006B2C20">
        <w:rPr>
          <w:bCs/>
        </w:rPr>
        <w:t xml:space="preserve">. Ermittlung von Bewertungsansätzen für Reisezeiten und Zuverlässigkeit auf der Basis eines Modells für modale Verlagerungen im nicht-gewerblichen und gewerblichen Personenverkehr für die Bundesverkehrswegeplanung. </w:t>
      </w:r>
      <w:r w:rsidRPr="005C31EB">
        <w:rPr>
          <w:bCs/>
          <w:lang w:val="en-US"/>
        </w:rPr>
        <w:t>TNS Infratest und IVT, ETH Zürich.</w:t>
      </w:r>
    </w:p>
    <w:p w14:paraId="4FAA5271" w14:textId="73C443E5" w:rsidR="00834F40" w:rsidRPr="00834F40" w:rsidRDefault="00834F40" w:rsidP="00901DF3">
      <w:pPr>
        <w:spacing w:after="120" w:line="480" w:lineRule="auto"/>
        <w:ind w:left="737" w:hanging="737"/>
        <w:rPr>
          <w:lang w:val="en-US"/>
        </w:rPr>
      </w:pPr>
      <w:r w:rsidRPr="00834F40">
        <w:rPr>
          <w:lang w:val="en-US"/>
        </w:rPr>
        <w:t xml:space="preserve">Babisch, W. (2011). Cardiovascular effects of noise. </w:t>
      </w:r>
      <w:r w:rsidRPr="00834F40">
        <w:rPr>
          <w:i/>
          <w:lang w:val="en-US"/>
        </w:rPr>
        <w:t>Noise and Health, 13</w:t>
      </w:r>
      <w:r w:rsidRPr="00834F40">
        <w:rPr>
          <w:lang w:val="en-US"/>
        </w:rPr>
        <w:t xml:space="preserve"> (52), 201</w:t>
      </w:r>
      <w:r w:rsidR="00682D03">
        <w:rPr>
          <w:lang w:val="en-US"/>
        </w:rPr>
        <w:t>-204</w:t>
      </w:r>
      <w:r w:rsidRPr="00834F40">
        <w:rPr>
          <w:lang w:val="en-US"/>
        </w:rPr>
        <w:t>.</w:t>
      </w:r>
    </w:p>
    <w:p w14:paraId="0F1DDB77" w14:textId="77777777" w:rsidR="009B009B" w:rsidRPr="006051FC" w:rsidRDefault="001F1588" w:rsidP="00901DF3">
      <w:pPr>
        <w:spacing w:after="120" w:line="480" w:lineRule="auto"/>
        <w:ind w:left="737" w:hanging="737"/>
        <w:rPr>
          <w:lang w:val="en-US"/>
        </w:rPr>
      </w:pPr>
      <w:r w:rsidRPr="006051FC">
        <w:rPr>
          <w:lang w:val="en-US"/>
        </w:rPr>
        <w:lastRenderedPageBreak/>
        <w:t>Bassett, D. R., Pucher Jr, J., Buehler, R., Thompson, D. L., &amp; Crouter, S. E. (2008). Walking, cycling, and obesity rates in Europe, North America, and Australia. </w:t>
      </w:r>
      <w:r w:rsidRPr="006051FC">
        <w:rPr>
          <w:i/>
          <w:iCs/>
          <w:lang w:val="en-US"/>
        </w:rPr>
        <w:t>Journal of Physical Activity and Health</w:t>
      </w:r>
      <w:r w:rsidRPr="006051FC">
        <w:rPr>
          <w:lang w:val="en-US"/>
        </w:rPr>
        <w:t>, </w:t>
      </w:r>
      <w:r w:rsidRPr="006051FC">
        <w:rPr>
          <w:i/>
          <w:iCs/>
          <w:lang w:val="en-US"/>
        </w:rPr>
        <w:t>5</w:t>
      </w:r>
      <w:r w:rsidRPr="006051FC">
        <w:rPr>
          <w:lang w:val="en-US"/>
        </w:rPr>
        <w:t>(6), 795-814.</w:t>
      </w:r>
    </w:p>
    <w:p w14:paraId="4CFB5038" w14:textId="44AB8465" w:rsidR="001F1588" w:rsidRPr="006051FC" w:rsidRDefault="001F1588" w:rsidP="00901DF3">
      <w:pPr>
        <w:spacing w:after="120" w:line="480" w:lineRule="auto"/>
        <w:ind w:left="737" w:hanging="737"/>
        <w:rPr>
          <w:lang w:val="en-US"/>
        </w:rPr>
      </w:pPr>
      <w:r w:rsidRPr="005C31EB">
        <w:rPr>
          <w:lang w:val="en-US"/>
        </w:rPr>
        <w:t xml:space="preserve">Becker, U.J., Becker, T., Gerlach, J. </w:t>
      </w:r>
      <w:r w:rsidR="000D7004" w:rsidRPr="005C31EB">
        <w:rPr>
          <w:lang w:val="en-US"/>
        </w:rPr>
        <w:t>(</w:t>
      </w:r>
      <w:r w:rsidRPr="005C31EB">
        <w:rPr>
          <w:lang w:val="en-US"/>
        </w:rPr>
        <w:t>2012</w:t>
      </w:r>
      <w:r w:rsidR="000D7004" w:rsidRPr="005C31EB">
        <w:rPr>
          <w:lang w:val="en-US"/>
        </w:rPr>
        <w:t>)</w:t>
      </w:r>
      <w:r w:rsidRPr="005C31EB">
        <w:rPr>
          <w:lang w:val="en-US"/>
        </w:rPr>
        <w:t xml:space="preserve">. </w:t>
      </w:r>
      <w:r w:rsidRPr="006051FC">
        <w:rPr>
          <w:lang w:val="en-US"/>
        </w:rPr>
        <w:t xml:space="preserve">The True Costs of Automobility: External Costs of Cars. Overview on existing estimates in EU-27. Available from: </w:t>
      </w:r>
      <w:hyperlink r:id="rId12" w:history="1">
        <w:r w:rsidRPr="006051FC">
          <w:rPr>
            <w:rStyle w:val="Hyperlink"/>
            <w:lang w:val="en-US"/>
          </w:rPr>
          <w:t>http://www.greens-efa.eu/fileadmin/dam/Documents/Studies/Costs_of_cars/The_true_costs_of_cars_EN.pdf</w:t>
        </w:r>
      </w:hyperlink>
      <w:r w:rsidRPr="006051FC">
        <w:rPr>
          <w:lang w:val="en-US"/>
        </w:rPr>
        <w:t xml:space="preserve"> Accessed 1 May 2014.</w:t>
      </w:r>
    </w:p>
    <w:p w14:paraId="4607BFBC" w14:textId="230EC05D" w:rsidR="001F1588" w:rsidRPr="006051FC" w:rsidRDefault="001F1588" w:rsidP="00901DF3">
      <w:pPr>
        <w:spacing w:after="120" w:line="480" w:lineRule="auto"/>
        <w:ind w:left="737" w:hanging="737"/>
        <w:rPr>
          <w:lang w:val="en-US"/>
        </w:rPr>
      </w:pPr>
      <w:r w:rsidRPr="006051FC">
        <w:rPr>
          <w:lang w:val="en-US"/>
        </w:rPr>
        <w:t xml:space="preserve">Bithas, K. </w:t>
      </w:r>
      <w:r w:rsidR="000D7004" w:rsidRPr="006051FC">
        <w:rPr>
          <w:lang w:val="en-US"/>
        </w:rPr>
        <w:t>(</w:t>
      </w:r>
      <w:r w:rsidRPr="006051FC">
        <w:rPr>
          <w:lang w:val="en-US"/>
        </w:rPr>
        <w:t>2011</w:t>
      </w:r>
      <w:r w:rsidR="000D7004" w:rsidRPr="006051FC">
        <w:rPr>
          <w:lang w:val="en-US"/>
        </w:rPr>
        <w:t>)</w:t>
      </w:r>
      <w:r w:rsidRPr="006051FC">
        <w:rPr>
          <w:lang w:val="en-US"/>
        </w:rPr>
        <w:t xml:space="preserve">. Sustainability and externalities: Is the internationalization of externalities a sufficient condition for sustainability? </w:t>
      </w:r>
      <w:r w:rsidRPr="006051FC">
        <w:rPr>
          <w:i/>
          <w:lang w:val="en-US"/>
        </w:rPr>
        <w:t>Ecological Economics</w:t>
      </w:r>
      <w:r w:rsidRPr="006051FC">
        <w:rPr>
          <w:lang w:val="en-US"/>
        </w:rPr>
        <w:t xml:space="preserve"> 70: 1703-1706.</w:t>
      </w:r>
    </w:p>
    <w:p w14:paraId="7D5B2532" w14:textId="36796F96" w:rsidR="00873CBA" w:rsidRPr="006051FC" w:rsidRDefault="00873CBA" w:rsidP="00901DF3">
      <w:pPr>
        <w:spacing w:after="120" w:line="480" w:lineRule="auto"/>
        <w:ind w:left="737" w:hanging="737"/>
        <w:rPr>
          <w:lang w:val="en-US"/>
        </w:rPr>
      </w:pPr>
      <w:r w:rsidRPr="006051FC">
        <w:rPr>
          <w:lang w:val="en-US"/>
        </w:rPr>
        <w:t>Blickstein, S., &amp; Hanson, S. (2001). Critical mass: forging a politics of sustainable mobility in the information age. </w:t>
      </w:r>
      <w:r w:rsidRPr="006051FC">
        <w:rPr>
          <w:i/>
          <w:iCs/>
          <w:lang w:val="en-US"/>
        </w:rPr>
        <w:t>Transportation</w:t>
      </w:r>
      <w:r w:rsidRPr="006051FC">
        <w:rPr>
          <w:lang w:val="en-US"/>
        </w:rPr>
        <w:t>, </w:t>
      </w:r>
      <w:r w:rsidRPr="006051FC">
        <w:rPr>
          <w:i/>
          <w:iCs/>
          <w:lang w:val="en-US"/>
        </w:rPr>
        <w:t>28</w:t>
      </w:r>
      <w:r w:rsidRPr="006051FC">
        <w:rPr>
          <w:lang w:val="en-US"/>
        </w:rPr>
        <w:t>(4), 347-362.</w:t>
      </w:r>
    </w:p>
    <w:p w14:paraId="325370B4" w14:textId="51ADC0B2" w:rsidR="001F1588" w:rsidRPr="00952F93" w:rsidRDefault="001F1588" w:rsidP="00901DF3">
      <w:pPr>
        <w:pStyle w:val="EndNoteBibliography"/>
        <w:spacing w:after="120" w:line="480" w:lineRule="auto"/>
        <w:ind w:left="737" w:hanging="737"/>
        <w:rPr>
          <w:lang w:val="en-GB"/>
        </w:rPr>
      </w:pPr>
      <w:r w:rsidRPr="00952F93">
        <w:rPr>
          <w:szCs w:val="24"/>
          <w:lang w:val="en-GB"/>
        </w:rPr>
        <w:t>Blond</w:t>
      </w:r>
      <w:r w:rsidR="00873CBA" w:rsidRPr="00952F93">
        <w:rPr>
          <w:szCs w:val="24"/>
          <w:lang w:val="en-GB"/>
        </w:rPr>
        <w:t>,</w:t>
      </w:r>
      <w:r w:rsidRPr="00952F93">
        <w:rPr>
          <w:szCs w:val="24"/>
          <w:lang w:val="en-GB"/>
        </w:rPr>
        <w:t xml:space="preserve"> K</w:t>
      </w:r>
      <w:r w:rsidR="00873CBA" w:rsidRPr="00952F93">
        <w:rPr>
          <w:szCs w:val="24"/>
          <w:lang w:val="en-GB"/>
        </w:rPr>
        <w:t>.,</w:t>
      </w:r>
      <w:r w:rsidRPr="00952F93">
        <w:rPr>
          <w:szCs w:val="24"/>
          <w:lang w:val="en-GB"/>
        </w:rPr>
        <w:t xml:space="preserve"> Jensen</w:t>
      </w:r>
      <w:r w:rsidR="00873CBA" w:rsidRPr="00952F93">
        <w:rPr>
          <w:szCs w:val="24"/>
          <w:lang w:val="en-GB"/>
        </w:rPr>
        <w:t>,</w:t>
      </w:r>
      <w:r w:rsidRPr="00952F93">
        <w:rPr>
          <w:szCs w:val="24"/>
          <w:lang w:val="en-GB"/>
        </w:rPr>
        <w:t xml:space="preserve"> M</w:t>
      </w:r>
      <w:r w:rsidR="00873CBA" w:rsidRPr="00952F93">
        <w:rPr>
          <w:szCs w:val="24"/>
          <w:lang w:val="en-GB"/>
        </w:rPr>
        <w:t>.</w:t>
      </w:r>
      <w:r w:rsidRPr="00952F93">
        <w:rPr>
          <w:szCs w:val="24"/>
          <w:lang w:val="en-GB"/>
        </w:rPr>
        <w:t>K</w:t>
      </w:r>
      <w:r w:rsidR="00873CBA" w:rsidRPr="00952F93">
        <w:rPr>
          <w:szCs w:val="24"/>
          <w:lang w:val="en-GB"/>
        </w:rPr>
        <w:t>.</w:t>
      </w:r>
      <w:r w:rsidRPr="00952F93">
        <w:rPr>
          <w:szCs w:val="24"/>
          <w:lang w:val="en-GB"/>
        </w:rPr>
        <w:t>, Rasmussen</w:t>
      </w:r>
      <w:r w:rsidR="00873CBA" w:rsidRPr="00952F93">
        <w:rPr>
          <w:szCs w:val="24"/>
          <w:lang w:val="en-GB"/>
        </w:rPr>
        <w:t>,</w:t>
      </w:r>
      <w:r w:rsidRPr="00952F93">
        <w:rPr>
          <w:szCs w:val="24"/>
          <w:lang w:val="en-GB"/>
        </w:rPr>
        <w:t xml:space="preserve"> M</w:t>
      </w:r>
      <w:r w:rsidR="00873CBA" w:rsidRPr="00952F93">
        <w:rPr>
          <w:szCs w:val="24"/>
          <w:lang w:val="en-GB"/>
        </w:rPr>
        <w:t>.</w:t>
      </w:r>
      <w:r w:rsidRPr="00952F93">
        <w:rPr>
          <w:szCs w:val="24"/>
          <w:lang w:val="en-GB"/>
        </w:rPr>
        <w:t>G</w:t>
      </w:r>
      <w:r w:rsidR="00873CBA" w:rsidRPr="00952F93">
        <w:rPr>
          <w:szCs w:val="24"/>
          <w:lang w:val="en-GB"/>
        </w:rPr>
        <w:t>.</w:t>
      </w:r>
      <w:r w:rsidRPr="00952F93">
        <w:rPr>
          <w:szCs w:val="24"/>
          <w:lang w:val="en-GB"/>
        </w:rPr>
        <w:t xml:space="preserve">, </w:t>
      </w:r>
      <w:r w:rsidR="00952F93" w:rsidRPr="00952F93">
        <w:rPr>
          <w:bCs/>
          <w:lang w:val="en-GB"/>
        </w:rPr>
        <w:t>Overvad,</w:t>
      </w:r>
      <w:r w:rsidR="00952F93">
        <w:rPr>
          <w:bCs/>
          <w:lang w:val="en-GB"/>
        </w:rPr>
        <w:t xml:space="preserve"> K.,</w:t>
      </w:r>
      <w:r w:rsidR="00952F93" w:rsidRPr="00952F93">
        <w:rPr>
          <w:bCs/>
          <w:lang w:val="en-GB"/>
        </w:rPr>
        <w:t> Tjønneland,</w:t>
      </w:r>
      <w:r w:rsidR="00952F93">
        <w:rPr>
          <w:bCs/>
          <w:lang w:val="en-GB"/>
        </w:rPr>
        <w:t xml:space="preserve"> A.,</w:t>
      </w:r>
      <w:r w:rsidR="00952F93" w:rsidRPr="00952F93">
        <w:rPr>
          <w:bCs/>
          <w:lang w:val="en-GB"/>
        </w:rPr>
        <w:t xml:space="preserve"> Østergaard,</w:t>
      </w:r>
      <w:r w:rsidR="00952F93">
        <w:rPr>
          <w:bCs/>
          <w:lang w:val="en-GB"/>
        </w:rPr>
        <w:t xml:space="preserve"> L. and</w:t>
      </w:r>
      <w:r w:rsidR="00952F93" w:rsidRPr="00952F93">
        <w:rPr>
          <w:bCs/>
          <w:lang w:val="en-GB"/>
        </w:rPr>
        <w:t> Grøntved</w:t>
      </w:r>
      <w:r w:rsidR="00952F93">
        <w:rPr>
          <w:bCs/>
          <w:lang w:val="en-GB"/>
        </w:rPr>
        <w:t>, A. (2016).</w:t>
      </w:r>
      <w:r w:rsidR="00952F93">
        <w:rPr>
          <w:lang w:val="en-GB"/>
        </w:rPr>
        <w:t xml:space="preserve"> </w:t>
      </w:r>
      <w:r w:rsidRPr="00952F93">
        <w:rPr>
          <w:szCs w:val="24"/>
          <w:lang w:val="en-GB"/>
        </w:rPr>
        <w:t>Prospective Study of Bicycling and Risk of Coronary</w:t>
      </w:r>
      <w:r w:rsidRPr="00771A11">
        <w:rPr>
          <w:szCs w:val="24"/>
          <w:lang w:val="en-GB"/>
        </w:rPr>
        <w:t xml:space="preserve"> Heart Disease in Danish Men and Women. </w:t>
      </w:r>
      <w:r w:rsidRPr="00771A11">
        <w:rPr>
          <w:i/>
          <w:szCs w:val="24"/>
          <w:lang w:val="en-GB"/>
        </w:rPr>
        <w:t>Circulation</w:t>
      </w:r>
      <w:r w:rsidRPr="00771A11">
        <w:rPr>
          <w:szCs w:val="24"/>
          <w:lang w:val="en-GB"/>
        </w:rPr>
        <w:t xml:space="preserve"> 134(18): 1409-11.</w:t>
      </w:r>
    </w:p>
    <w:p w14:paraId="46178853" w14:textId="0454B02F" w:rsidR="001F1588" w:rsidRPr="006051FC" w:rsidRDefault="001F1588" w:rsidP="00901DF3">
      <w:pPr>
        <w:spacing w:after="120" w:line="480" w:lineRule="auto"/>
        <w:ind w:left="737" w:hanging="737"/>
        <w:rPr>
          <w:lang w:val="en-US"/>
        </w:rPr>
      </w:pPr>
      <w:r w:rsidRPr="006051FC">
        <w:rPr>
          <w:lang w:val="en-US"/>
        </w:rPr>
        <w:t xml:space="preserve">Boardman, A., Greenberg, D., Vining, A., Weimer, D. </w:t>
      </w:r>
      <w:r w:rsidR="00F329F9" w:rsidRPr="006051FC">
        <w:rPr>
          <w:lang w:val="en-US"/>
        </w:rPr>
        <w:t>(</w:t>
      </w:r>
      <w:r w:rsidRPr="006051FC">
        <w:rPr>
          <w:lang w:val="en-US"/>
        </w:rPr>
        <w:t>2010</w:t>
      </w:r>
      <w:r w:rsidR="00F329F9" w:rsidRPr="006051FC">
        <w:rPr>
          <w:lang w:val="en-US"/>
        </w:rPr>
        <w:t>)</w:t>
      </w:r>
      <w:r w:rsidRPr="006051FC">
        <w:rPr>
          <w:lang w:val="en-US"/>
        </w:rPr>
        <w:t>. Cost-Benefit Analysis. Concepts and Practice (4</w:t>
      </w:r>
      <w:r w:rsidRPr="006051FC">
        <w:rPr>
          <w:vertAlign w:val="superscript"/>
          <w:lang w:val="en-US"/>
        </w:rPr>
        <w:t>th</w:t>
      </w:r>
      <w:r w:rsidRPr="006051FC">
        <w:rPr>
          <w:lang w:val="en-US"/>
        </w:rPr>
        <w:t xml:space="preserve"> Edition). Pearson Prentice Hall: New Jersey.</w:t>
      </w:r>
    </w:p>
    <w:p w14:paraId="613FFA8F" w14:textId="77777777" w:rsidR="00834F40" w:rsidRPr="00834F40" w:rsidRDefault="00834F40" w:rsidP="00901DF3">
      <w:pPr>
        <w:spacing w:after="120" w:line="480" w:lineRule="auto"/>
        <w:ind w:left="737" w:hanging="737"/>
        <w:rPr>
          <w:lang w:val="en-US"/>
        </w:rPr>
      </w:pPr>
      <w:r w:rsidRPr="0010359C">
        <w:t xml:space="preserve">Brauer, M., Reynolds, C., &amp; Hystad, P. (2013). </w:t>
      </w:r>
      <w:r w:rsidRPr="00834F40">
        <w:rPr>
          <w:lang w:val="en-US"/>
        </w:rPr>
        <w:t xml:space="preserve">Traffic-related air pollution and health in Canada. </w:t>
      </w:r>
      <w:r w:rsidRPr="00834F40">
        <w:rPr>
          <w:i/>
          <w:lang w:val="en-US"/>
        </w:rPr>
        <w:t>CMAJ : Canadian Medical Association Journal, 185</w:t>
      </w:r>
      <w:r w:rsidRPr="00834F40">
        <w:rPr>
          <w:lang w:val="en-US"/>
        </w:rPr>
        <w:t xml:space="preserve"> (18), 1557–1558. </w:t>
      </w:r>
    </w:p>
    <w:p w14:paraId="4A5270F0" w14:textId="77777777" w:rsidR="00834F40" w:rsidRPr="006051FC" w:rsidRDefault="00834F40" w:rsidP="00901DF3">
      <w:pPr>
        <w:spacing w:after="120" w:line="480" w:lineRule="auto"/>
        <w:ind w:left="737" w:hanging="737"/>
        <w:rPr>
          <w:lang w:val="en-US"/>
        </w:rPr>
      </w:pPr>
      <w:r w:rsidRPr="006051FC">
        <w:rPr>
          <w:lang w:val="en-US"/>
        </w:rPr>
        <w:t xml:space="preserve">Brunekreef, B., &amp; Holgate, S. T. (2002). Air pollution and health. </w:t>
      </w:r>
      <w:r w:rsidRPr="006051FC">
        <w:rPr>
          <w:i/>
          <w:lang w:val="en-US"/>
        </w:rPr>
        <w:t>The Lancet, 360</w:t>
      </w:r>
      <w:r w:rsidRPr="006051FC">
        <w:rPr>
          <w:lang w:val="en-US"/>
        </w:rPr>
        <w:t xml:space="preserve"> (9341), 1233–1242. </w:t>
      </w:r>
    </w:p>
    <w:p w14:paraId="610F318A" w14:textId="77777777" w:rsidR="001F1588" w:rsidRPr="006051FC" w:rsidRDefault="001F1588" w:rsidP="00901DF3">
      <w:pPr>
        <w:spacing w:after="120" w:line="480" w:lineRule="auto"/>
        <w:ind w:left="737" w:hanging="737"/>
        <w:rPr>
          <w:lang w:val="en-US"/>
        </w:rPr>
      </w:pPr>
      <w:r w:rsidRPr="005C31EB">
        <w:t xml:space="preserve">Buehler, R., Pucher, J., Gerike, R., &amp; Götschi, T. (2017). </w:t>
      </w:r>
      <w:r w:rsidRPr="006051FC">
        <w:rPr>
          <w:lang w:val="en-US"/>
        </w:rPr>
        <w:t>Reducing car dependence in the heart of Europe: lessons from Germany, Austria, and Switzerland. </w:t>
      </w:r>
      <w:r w:rsidRPr="006051FC">
        <w:rPr>
          <w:i/>
          <w:iCs/>
          <w:lang w:val="en-US"/>
        </w:rPr>
        <w:t>Transport Reviews</w:t>
      </w:r>
      <w:r w:rsidRPr="006051FC">
        <w:rPr>
          <w:lang w:val="en-US"/>
        </w:rPr>
        <w:t>, </w:t>
      </w:r>
      <w:r w:rsidRPr="006051FC">
        <w:rPr>
          <w:i/>
          <w:iCs/>
          <w:lang w:val="en-US"/>
        </w:rPr>
        <w:t>37</w:t>
      </w:r>
      <w:r w:rsidRPr="006051FC">
        <w:rPr>
          <w:lang w:val="en-US"/>
        </w:rPr>
        <w:t>(1), 4-28.</w:t>
      </w:r>
    </w:p>
    <w:p w14:paraId="1EEC63F6" w14:textId="1C7A22B0" w:rsidR="001F1588" w:rsidRPr="006051FC" w:rsidRDefault="001F1588" w:rsidP="00901DF3">
      <w:pPr>
        <w:spacing w:after="120" w:line="480" w:lineRule="auto"/>
        <w:ind w:left="737" w:hanging="737"/>
        <w:rPr>
          <w:lang w:val="en-US"/>
        </w:rPr>
      </w:pPr>
      <w:r w:rsidRPr="006051FC">
        <w:rPr>
          <w:lang w:val="en-US"/>
        </w:rPr>
        <w:lastRenderedPageBreak/>
        <w:t xml:space="preserve">Buis, J. </w:t>
      </w:r>
      <w:r w:rsidR="00F329F9" w:rsidRPr="006051FC">
        <w:rPr>
          <w:lang w:val="en-US"/>
        </w:rPr>
        <w:t>(</w:t>
      </w:r>
      <w:r w:rsidRPr="006051FC">
        <w:rPr>
          <w:lang w:val="en-US"/>
        </w:rPr>
        <w:t>2000</w:t>
      </w:r>
      <w:r w:rsidR="00F329F9" w:rsidRPr="006051FC">
        <w:rPr>
          <w:lang w:val="en-US"/>
        </w:rPr>
        <w:t>)</w:t>
      </w:r>
      <w:r w:rsidRPr="006051FC">
        <w:rPr>
          <w:lang w:val="en-US"/>
        </w:rPr>
        <w:t>. The Economic Significance of Cycling: A study to illustrate the costs and benefits of cycling policy. Den Haag, Interface for Cycling Expertise.</w:t>
      </w:r>
    </w:p>
    <w:p w14:paraId="6DC38C43" w14:textId="46795C5A" w:rsidR="001F1588" w:rsidRDefault="001F1588" w:rsidP="00901DF3">
      <w:pPr>
        <w:spacing w:after="120" w:line="480" w:lineRule="auto"/>
        <w:ind w:left="737" w:hanging="737"/>
        <w:rPr>
          <w:bCs/>
          <w:lang w:val="en-US"/>
        </w:rPr>
      </w:pPr>
      <w:r w:rsidRPr="006051FC">
        <w:rPr>
          <w:bCs/>
          <w:lang w:val="en-US"/>
        </w:rPr>
        <w:t xml:space="preserve">Bureau of Transportation Statistics (2016). Average Fuel Efficiency of US Light Duty Vehicles. Available: </w:t>
      </w:r>
      <w:hyperlink r:id="rId13" w:history="1">
        <w:r w:rsidRPr="006051FC">
          <w:rPr>
            <w:rStyle w:val="Hyperlink"/>
            <w:bCs/>
            <w:lang w:val="en-US"/>
          </w:rPr>
          <w:t>https://www.rita.dot.gov/bts/sites/rita.dot.gov.bts/files/publications/national_transportation_statistics/html/table_04_23.html</w:t>
        </w:r>
      </w:hyperlink>
      <w:r w:rsidRPr="006051FC">
        <w:rPr>
          <w:bCs/>
          <w:lang w:val="en-US"/>
        </w:rPr>
        <w:t xml:space="preserve"> Accessed 27 November 2017.</w:t>
      </w:r>
    </w:p>
    <w:p w14:paraId="38D8C010" w14:textId="3BFF9452" w:rsidR="00FF5A19" w:rsidRPr="00CE63EF" w:rsidRDefault="00FF5A19" w:rsidP="00FF5A19">
      <w:pPr>
        <w:spacing w:after="120" w:line="480" w:lineRule="auto"/>
        <w:ind w:left="737" w:hanging="737"/>
        <w:rPr>
          <w:bCs/>
          <w:lang w:val="en-US"/>
        </w:rPr>
      </w:pPr>
      <w:r w:rsidRPr="00FF5A19">
        <w:rPr>
          <w:bCs/>
          <w:lang w:val="en-US"/>
        </w:rPr>
        <w:t>Carrion, C., &amp; Levinson, D. (2012). Value of travel time reliability: A review of current evidence. </w:t>
      </w:r>
      <w:r w:rsidRPr="00CE63EF">
        <w:rPr>
          <w:bCs/>
          <w:i/>
          <w:iCs/>
          <w:lang w:val="en-US"/>
        </w:rPr>
        <w:t>Transportation Research Part A: Policy and Practice</w:t>
      </w:r>
      <w:r w:rsidRPr="00CE63EF">
        <w:rPr>
          <w:bCs/>
          <w:lang w:val="en-US"/>
        </w:rPr>
        <w:t>, </w:t>
      </w:r>
      <w:r w:rsidRPr="00CE63EF">
        <w:rPr>
          <w:bCs/>
          <w:i/>
          <w:iCs/>
          <w:lang w:val="en-US"/>
        </w:rPr>
        <w:t>46</w:t>
      </w:r>
      <w:r w:rsidRPr="00CE63EF">
        <w:rPr>
          <w:bCs/>
          <w:lang w:val="en-US"/>
        </w:rPr>
        <w:t>(4), 720-741.</w:t>
      </w:r>
    </w:p>
    <w:p w14:paraId="5C071517" w14:textId="70230D1C" w:rsidR="001F1588" w:rsidRPr="006051FC" w:rsidRDefault="001F1588" w:rsidP="00901DF3">
      <w:pPr>
        <w:spacing w:after="120" w:line="480" w:lineRule="auto"/>
        <w:ind w:left="737" w:hanging="737"/>
        <w:rPr>
          <w:lang w:val="en-US"/>
        </w:rPr>
      </w:pPr>
      <w:r w:rsidRPr="00CE63EF">
        <w:rPr>
          <w:lang w:val="en-US"/>
        </w:rPr>
        <w:t xml:space="preserve">CE Delft, Infras, Fraunhofer ISI </w:t>
      </w:r>
      <w:r w:rsidR="007D443D" w:rsidRPr="00CE63EF">
        <w:rPr>
          <w:lang w:val="en-US"/>
        </w:rPr>
        <w:t>(</w:t>
      </w:r>
      <w:r w:rsidRPr="00CE63EF">
        <w:rPr>
          <w:lang w:val="en-US"/>
        </w:rPr>
        <w:t>2011</w:t>
      </w:r>
      <w:r w:rsidR="007D443D" w:rsidRPr="00CE63EF">
        <w:rPr>
          <w:lang w:val="en-US"/>
        </w:rPr>
        <w:t>)</w:t>
      </w:r>
      <w:r w:rsidRPr="00CE63EF">
        <w:rPr>
          <w:lang w:val="en-US"/>
        </w:rPr>
        <w:t xml:space="preserve">. </w:t>
      </w:r>
      <w:r w:rsidRPr="006051FC">
        <w:rPr>
          <w:lang w:val="en-US"/>
        </w:rPr>
        <w:t xml:space="preserve">External Costs of Transport in Europe. Available from: </w:t>
      </w:r>
      <w:hyperlink r:id="rId14" w:history="1">
        <w:r w:rsidRPr="006051FC">
          <w:rPr>
            <w:rStyle w:val="Hyperlink"/>
            <w:lang w:val="en-US"/>
          </w:rPr>
          <w:t>http://ecocalc-test.ecotransit.org/CE_Delft_4215_External_Costs_of_Transport_in_Europe_def.pdf Accessed 1 May 2014</w:t>
        </w:r>
      </w:hyperlink>
      <w:r w:rsidRPr="006051FC">
        <w:rPr>
          <w:lang w:val="en-US"/>
        </w:rPr>
        <w:t>.</w:t>
      </w:r>
    </w:p>
    <w:p w14:paraId="16C0FEA8" w14:textId="349C1A59" w:rsidR="001F1588" w:rsidRPr="006051FC" w:rsidRDefault="001F1588" w:rsidP="00901DF3">
      <w:pPr>
        <w:spacing w:after="120" w:line="480" w:lineRule="auto"/>
        <w:ind w:left="737" w:hanging="737"/>
        <w:rPr>
          <w:lang w:val="en-US"/>
        </w:rPr>
      </w:pPr>
      <w:r w:rsidRPr="00FD795E">
        <w:rPr>
          <w:lang w:val="sv-SE"/>
        </w:rPr>
        <w:t xml:space="preserve">Center for Transport Analytics (2017). Transportøkonomiske Enhedspriser. </w:t>
      </w:r>
      <w:r w:rsidRPr="006051FC">
        <w:rPr>
          <w:lang w:val="en-US"/>
        </w:rPr>
        <w:t xml:space="preserve">Available: </w:t>
      </w:r>
      <w:r w:rsidR="00DF31E6" w:rsidRPr="00DF31E6">
        <w:rPr>
          <w:lang w:val="en-US"/>
        </w:rPr>
        <w:t xml:space="preserve">https://www.cta.man.dtu.dk/modelbibliotek/teresa/transportoekonomiske-enhedspriser </w:t>
      </w:r>
      <w:r w:rsidRPr="006051FC">
        <w:rPr>
          <w:lang w:val="en-US"/>
        </w:rPr>
        <w:t>Accessed 16 February 2017.</w:t>
      </w:r>
    </w:p>
    <w:p w14:paraId="04F641B6" w14:textId="77777777" w:rsidR="001F1588" w:rsidRPr="006051FC" w:rsidRDefault="001F1588" w:rsidP="00901DF3">
      <w:pPr>
        <w:spacing w:after="120" w:line="480" w:lineRule="auto"/>
        <w:ind w:left="737" w:hanging="737"/>
        <w:rPr>
          <w:lang w:val="en-US"/>
        </w:rPr>
      </w:pPr>
      <w:r w:rsidRPr="006051FC">
        <w:rPr>
          <w:lang w:val="en-US"/>
        </w:rPr>
        <w:t>Coady, D., Parry, I., Sears, L., &amp; Shang, B. (2017). How large are global fossil fuel subsidies?. </w:t>
      </w:r>
      <w:r w:rsidRPr="006051FC">
        <w:rPr>
          <w:i/>
          <w:iCs/>
          <w:lang w:val="en-US"/>
        </w:rPr>
        <w:t>World Development</w:t>
      </w:r>
      <w:r w:rsidRPr="006051FC">
        <w:rPr>
          <w:lang w:val="en-US"/>
        </w:rPr>
        <w:t>, </w:t>
      </w:r>
      <w:r w:rsidRPr="006051FC">
        <w:rPr>
          <w:i/>
          <w:iCs/>
          <w:lang w:val="en-US"/>
        </w:rPr>
        <w:t>91</w:t>
      </w:r>
      <w:r w:rsidRPr="006051FC">
        <w:rPr>
          <w:lang w:val="en-US"/>
        </w:rPr>
        <w:t>, 11-27.</w:t>
      </w:r>
    </w:p>
    <w:p w14:paraId="76438BF3" w14:textId="2EE7D617" w:rsidR="001F1588" w:rsidRPr="006051FC" w:rsidRDefault="001F1588" w:rsidP="00901DF3">
      <w:pPr>
        <w:spacing w:after="120" w:line="480" w:lineRule="auto"/>
        <w:ind w:left="737" w:hanging="737"/>
        <w:rPr>
          <w:lang w:val="en-US"/>
        </w:rPr>
      </w:pPr>
      <w:r w:rsidRPr="006051FC">
        <w:rPr>
          <w:lang w:val="en-US"/>
        </w:rPr>
        <w:t xml:space="preserve">Costanza, R., dArge, R., de Groot, R., Farber, S., Grasso, M., Hannon, B., Limburg, K., Naeem, S., O’Neill, R.V., Paruelo, J., Raskin, R.G., Sutton, P., van den Belt, M. </w:t>
      </w:r>
      <w:r w:rsidR="00F329F9" w:rsidRPr="006051FC">
        <w:rPr>
          <w:lang w:val="en-US"/>
        </w:rPr>
        <w:t>(</w:t>
      </w:r>
      <w:r w:rsidRPr="006051FC">
        <w:rPr>
          <w:lang w:val="en-US"/>
        </w:rPr>
        <w:t>1997</w:t>
      </w:r>
      <w:r w:rsidR="00F329F9" w:rsidRPr="006051FC">
        <w:rPr>
          <w:lang w:val="en-US"/>
        </w:rPr>
        <w:t>)</w:t>
      </w:r>
      <w:r w:rsidRPr="006051FC">
        <w:rPr>
          <w:lang w:val="en-US"/>
        </w:rPr>
        <w:t>. The value of the world’s ecosystem services and natural capital. Nature 387: 253–260.</w:t>
      </w:r>
    </w:p>
    <w:p w14:paraId="3F6D45BE" w14:textId="3B354C98" w:rsidR="001F1588" w:rsidRPr="006051FC" w:rsidRDefault="001F1588" w:rsidP="00901DF3">
      <w:pPr>
        <w:spacing w:after="120" w:line="480" w:lineRule="auto"/>
        <w:ind w:left="737" w:hanging="737"/>
        <w:rPr>
          <w:lang w:val="en-US"/>
        </w:rPr>
      </w:pPr>
      <w:r w:rsidRPr="006051FC">
        <w:rPr>
          <w:lang w:val="en-US"/>
        </w:rPr>
        <w:t xml:space="preserve">COWI and City of Copenhagen (2009). </w:t>
      </w:r>
      <w:r w:rsidRPr="005C31EB">
        <w:rPr>
          <w:lang w:val="en-US"/>
        </w:rPr>
        <w:t xml:space="preserve">Samfundsøkonomiske analyser af cykeltiltag - metode og cases, Januar 2009. </w:t>
      </w:r>
      <w:r w:rsidRPr="006051FC">
        <w:rPr>
          <w:lang w:val="en-US"/>
        </w:rPr>
        <w:t>Available</w:t>
      </w:r>
      <w:r w:rsidR="00834F40" w:rsidRPr="006051FC">
        <w:rPr>
          <w:lang w:val="en-US"/>
        </w:rPr>
        <w:t>:</w:t>
      </w:r>
      <w:r w:rsidRPr="006051FC">
        <w:rPr>
          <w:lang w:val="en-US"/>
        </w:rPr>
        <w:t xml:space="preserve"> </w:t>
      </w:r>
      <w:hyperlink r:id="rId15" w:history="1">
        <w:r w:rsidRPr="006051FC">
          <w:rPr>
            <w:rStyle w:val="Hyperlink"/>
            <w:lang w:val="en-US"/>
          </w:rPr>
          <w:t>www.kk.dk</w:t>
        </w:r>
      </w:hyperlink>
      <w:r w:rsidRPr="006051FC">
        <w:rPr>
          <w:lang w:val="en-US"/>
        </w:rPr>
        <w:t>. Accessed 20 May 201</w:t>
      </w:r>
      <w:r w:rsidR="00834F40" w:rsidRPr="006051FC">
        <w:rPr>
          <w:lang w:val="en-US"/>
        </w:rPr>
        <w:t>7</w:t>
      </w:r>
      <w:r w:rsidRPr="006051FC">
        <w:rPr>
          <w:lang w:val="en-US"/>
        </w:rPr>
        <w:t>.</w:t>
      </w:r>
    </w:p>
    <w:p w14:paraId="78BD6D3B" w14:textId="5EBC9255" w:rsidR="00BE275D" w:rsidRPr="006051FC" w:rsidRDefault="00BE275D" w:rsidP="00901DF3">
      <w:pPr>
        <w:spacing w:after="120" w:line="480" w:lineRule="auto"/>
        <w:ind w:left="737" w:hanging="737"/>
        <w:rPr>
          <w:lang w:val="en-US"/>
        </w:rPr>
      </w:pPr>
      <w:r w:rsidRPr="006051FC">
        <w:rPr>
          <w:lang w:val="en-US"/>
        </w:rPr>
        <w:lastRenderedPageBreak/>
        <w:t>Creutzig, F., Jochem, P., Edelenbosch, O.Y., Mattauch, L., van Vuure</w:t>
      </w:r>
      <w:r w:rsidR="00167A0C" w:rsidRPr="006051FC">
        <w:rPr>
          <w:lang w:val="en-US"/>
        </w:rPr>
        <w:t>n, D.P., McCollum, D., Minx, J.</w:t>
      </w:r>
      <w:r w:rsidRPr="006051FC">
        <w:rPr>
          <w:lang w:val="en-US"/>
        </w:rPr>
        <w:t xml:space="preserve"> (2015). Transport: A roadblock to climate change mitigation? </w:t>
      </w:r>
      <w:r w:rsidRPr="006051FC">
        <w:rPr>
          <w:iCs/>
          <w:lang w:val="en-US"/>
        </w:rPr>
        <w:t>Science</w:t>
      </w:r>
      <w:r w:rsidRPr="006051FC">
        <w:rPr>
          <w:lang w:val="en-US"/>
        </w:rPr>
        <w:t> </w:t>
      </w:r>
      <w:r w:rsidRPr="006051FC">
        <w:rPr>
          <w:iCs/>
          <w:lang w:val="en-US"/>
        </w:rPr>
        <w:t xml:space="preserve">350 </w:t>
      </w:r>
      <w:r w:rsidRPr="006051FC">
        <w:rPr>
          <w:lang w:val="en-US"/>
        </w:rPr>
        <w:t>(6263), 911-912.</w:t>
      </w:r>
    </w:p>
    <w:p w14:paraId="656D6CF2" w14:textId="77777777" w:rsidR="00834F40" w:rsidRDefault="00834F40" w:rsidP="00901DF3">
      <w:pPr>
        <w:spacing w:after="120" w:line="480" w:lineRule="auto"/>
        <w:ind w:left="737" w:hanging="737"/>
        <w:rPr>
          <w:lang w:val="en-US"/>
        </w:rPr>
      </w:pPr>
      <w:r w:rsidRPr="006051FC">
        <w:rPr>
          <w:lang w:val="en-US"/>
        </w:rPr>
        <w:t xml:space="preserve">Crüts, B., van Etten, L., Törnqvist, H., Blomberg, A., Sandström, T., Mills, N. L., &amp; Borm, P. J. (2008). </w:t>
      </w:r>
      <w:r w:rsidRPr="00834F40">
        <w:rPr>
          <w:lang w:val="en-US"/>
        </w:rPr>
        <w:t xml:space="preserve">Exposure to diesel exhaust induces changes in EEG in human volunteers. </w:t>
      </w:r>
      <w:r w:rsidRPr="00834F40">
        <w:rPr>
          <w:i/>
          <w:lang w:val="en-US"/>
        </w:rPr>
        <w:t>Particle and Fibre Toxicology, 5</w:t>
      </w:r>
      <w:r w:rsidRPr="00834F40">
        <w:rPr>
          <w:lang w:val="en-US"/>
        </w:rPr>
        <w:t xml:space="preserve"> (4), 6.</w:t>
      </w:r>
    </w:p>
    <w:p w14:paraId="34CE3CAC" w14:textId="3DFB0769" w:rsidR="00760356" w:rsidRPr="00834F40" w:rsidRDefault="00760356" w:rsidP="00901DF3">
      <w:pPr>
        <w:spacing w:after="120" w:line="480" w:lineRule="auto"/>
        <w:ind w:left="737" w:hanging="737"/>
        <w:rPr>
          <w:lang w:val="en-US"/>
        </w:rPr>
      </w:pPr>
      <w:r>
        <w:rPr>
          <w:lang w:val="en-US"/>
        </w:rPr>
        <w:t>Daily, G. (1997). Nature’s Services. Washington D.C.: Island Press.</w:t>
      </w:r>
    </w:p>
    <w:p w14:paraId="6B16BA2C" w14:textId="77777777" w:rsidR="00834F40" w:rsidRPr="00834F40" w:rsidRDefault="00834F40" w:rsidP="00901DF3">
      <w:pPr>
        <w:spacing w:after="120" w:line="480" w:lineRule="auto"/>
        <w:ind w:left="737" w:hanging="737"/>
        <w:rPr>
          <w:lang w:val="en-US"/>
        </w:rPr>
      </w:pPr>
      <w:r w:rsidRPr="00834F40">
        <w:rPr>
          <w:lang w:val="en-US"/>
        </w:rPr>
        <w:t xml:space="preserve">Dargay, J., Gately, D., &amp; Sommer, M. (2007). Vehicle Ownership and Income Growth, Worldwide: 1960-2030. </w:t>
      </w:r>
      <w:r w:rsidRPr="00834F40">
        <w:rPr>
          <w:i/>
          <w:lang w:val="en-US"/>
        </w:rPr>
        <w:t xml:space="preserve">The Energy Journal, 28 </w:t>
      </w:r>
      <w:r w:rsidRPr="00834F40">
        <w:rPr>
          <w:lang w:val="en-US"/>
        </w:rPr>
        <w:t>(4), 143-170.</w:t>
      </w:r>
    </w:p>
    <w:p w14:paraId="3A3DA728" w14:textId="0346AF42" w:rsidR="001F1588" w:rsidRPr="006051FC" w:rsidRDefault="001F1588" w:rsidP="00901DF3">
      <w:pPr>
        <w:spacing w:after="120" w:line="480" w:lineRule="auto"/>
        <w:ind w:left="737" w:hanging="737"/>
        <w:rPr>
          <w:lang w:val="en-US"/>
        </w:rPr>
      </w:pPr>
      <w:r w:rsidRPr="006051FC">
        <w:rPr>
          <w:lang w:val="en-US"/>
        </w:rPr>
        <w:t>Dave, S. (2010)</w:t>
      </w:r>
      <w:r w:rsidR="00167A0C" w:rsidRPr="006051FC">
        <w:rPr>
          <w:lang w:val="en-US"/>
        </w:rPr>
        <w:t>.</w:t>
      </w:r>
      <w:r w:rsidRPr="006051FC">
        <w:rPr>
          <w:lang w:val="en-US"/>
        </w:rPr>
        <w:t xml:space="preserve"> Life cycle assessment of transportation options for commuters. Available: </w:t>
      </w:r>
      <w:hyperlink r:id="rId16" w:history="1">
        <w:r w:rsidRPr="006051FC">
          <w:rPr>
            <w:rStyle w:val="Hyperlink"/>
            <w:lang w:val="en-US"/>
          </w:rPr>
          <w:t>http://files.meetup.com/1468133/LCAwhitepaper.pdf</w:t>
        </w:r>
      </w:hyperlink>
      <w:r w:rsidRPr="006051FC">
        <w:rPr>
          <w:lang w:val="en-US"/>
        </w:rPr>
        <w:t xml:space="preserve"> Accessed 15 February 2018.</w:t>
      </w:r>
    </w:p>
    <w:p w14:paraId="0842B635" w14:textId="074F622A" w:rsidR="00F3446B" w:rsidRPr="006051FC" w:rsidRDefault="00F3446B" w:rsidP="00901DF3">
      <w:pPr>
        <w:spacing w:after="120" w:line="480" w:lineRule="auto"/>
        <w:ind w:left="737" w:hanging="737"/>
        <w:rPr>
          <w:lang w:val="en-US"/>
        </w:rPr>
      </w:pPr>
      <w:r w:rsidRPr="005C31EB">
        <w:rPr>
          <w:lang w:val="en-US"/>
        </w:rPr>
        <w:t xml:space="preserve">De Hartog, J. J., Boogaard, H., Nijland, H., &amp; Hoek, G. (2010). </w:t>
      </w:r>
      <w:r w:rsidRPr="006051FC">
        <w:rPr>
          <w:lang w:val="en-US"/>
        </w:rPr>
        <w:t>Do the health benefits of cycling outweigh the risks? </w:t>
      </w:r>
      <w:r w:rsidRPr="006051FC">
        <w:rPr>
          <w:i/>
          <w:iCs/>
          <w:lang w:val="en-US"/>
        </w:rPr>
        <w:t>Environmental Health Perspectives</w:t>
      </w:r>
      <w:r w:rsidRPr="006051FC">
        <w:rPr>
          <w:lang w:val="en-US"/>
        </w:rPr>
        <w:t>, </w:t>
      </w:r>
      <w:r w:rsidRPr="006051FC">
        <w:rPr>
          <w:i/>
          <w:iCs/>
          <w:lang w:val="en-US"/>
        </w:rPr>
        <w:t>118</w:t>
      </w:r>
      <w:r w:rsidRPr="006051FC">
        <w:rPr>
          <w:lang w:val="en-US"/>
        </w:rPr>
        <w:t>(8), 1109.</w:t>
      </w:r>
    </w:p>
    <w:p w14:paraId="4B11B20B" w14:textId="77777777" w:rsidR="00167A0C" w:rsidRPr="006051FC" w:rsidRDefault="00167A0C" w:rsidP="00901DF3">
      <w:pPr>
        <w:spacing w:after="120" w:line="480" w:lineRule="auto"/>
        <w:ind w:left="737" w:hanging="737"/>
        <w:rPr>
          <w:lang w:val="en-US"/>
        </w:rPr>
      </w:pPr>
      <w:r w:rsidRPr="006051FC">
        <w:rPr>
          <w:lang w:val="en-US"/>
        </w:rPr>
        <w:t>EC (2011). White Paper. Roadmap to a Single European Transport Area – Towards a Competitive and Resource Efficient Transport System. COM (2011) 144 final. Brussels, European Commission.</w:t>
      </w:r>
    </w:p>
    <w:p w14:paraId="14ED42BB" w14:textId="1F94D423" w:rsidR="001F1588" w:rsidRPr="006051FC" w:rsidRDefault="001F1588" w:rsidP="00901DF3">
      <w:pPr>
        <w:spacing w:after="120" w:line="480" w:lineRule="auto"/>
        <w:ind w:left="737" w:hanging="737"/>
        <w:rPr>
          <w:lang w:val="en-US"/>
        </w:rPr>
      </w:pPr>
      <w:r w:rsidRPr="006051FC">
        <w:rPr>
          <w:lang w:val="en-US"/>
        </w:rPr>
        <w:t xml:space="preserve">EC </w:t>
      </w:r>
      <w:r w:rsidR="00167A0C" w:rsidRPr="006051FC">
        <w:rPr>
          <w:lang w:val="en-US"/>
        </w:rPr>
        <w:t>(</w:t>
      </w:r>
      <w:r w:rsidRPr="006051FC">
        <w:rPr>
          <w:lang w:val="en-US"/>
        </w:rPr>
        <w:t>2012</w:t>
      </w:r>
      <w:r w:rsidR="00167A0C" w:rsidRPr="006051FC">
        <w:rPr>
          <w:lang w:val="en-US"/>
        </w:rPr>
        <w:t>)</w:t>
      </w:r>
      <w:r w:rsidRPr="006051FC">
        <w:rPr>
          <w:lang w:val="en-US"/>
        </w:rPr>
        <w:t xml:space="preserve">. Mobility and Transport. Statistical pocketbook 2012. Available: </w:t>
      </w:r>
      <w:hyperlink r:id="rId17" w:history="1">
        <w:r w:rsidRPr="006051FC">
          <w:rPr>
            <w:rStyle w:val="Hyperlink"/>
            <w:lang w:val="en-US"/>
          </w:rPr>
          <w:t>https://ec.europa.eu/transport/facts-fundings/statistics/pocketbook-2012_nl</w:t>
        </w:r>
      </w:hyperlink>
      <w:r w:rsidRPr="006051FC">
        <w:rPr>
          <w:lang w:val="en-US"/>
        </w:rPr>
        <w:t xml:space="preserve"> Accessed 22 December 2017.</w:t>
      </w:r>
    </w:p>
    <w:p w14:paraId="6D25B162" w14:textId="73FD3ACC" w:rsidR="001F1588" w:rsidRDefault="001F1588" w:rsidP="00901DF3">
      <w:pPr>
        <w:pStyle w:val="EndNoteBibliography"/>
        <w:spacing w:after="120" w:line="480" w:lineRule="auto"/>
        <w:ind w:left="737" w:hanging="737"/>
        <w:rPr>
          <w:rStyle w:val="Hyperlink"/>
          <w:lang w:val="en-GB"/>
        </w:rPr>
      </w:pPr>
      <w:r w:rsidRPr="00E279A8">
        <w:rPr>
          <w:lang w:val="en-GB"/>
        </w:rPr>
        <w:t xml:space="preserve">EC </w:t>
      </w:r>
      <w:r w:rsidR="00167A0C">
        <w:rPr>
          <w:lang w:val="en-GB"/>
        </w:rPr>
        <w:t>(</w:t>
      </w:r>
      <w:r w:rsidRPr="00E279A8">
        <w:rPr>
          <w:lang w:val="en-GB"/>
        </w:rPr>
        <w:t>2017</w:t>
      </w:r>
      <w:r w:rsidR="00167A0C">
        <w:rPr>
          <w:lang w:val="en-GB"/>
        </w:rPr>
        <w:t>)</w:t>
      </w:r>
      <w:r w:rsidRPr="00E279A8">
        <w:rPr>
          <w:lang w:val="en-GB"/>
        </w:rPr>
        <w:t>. Statistical Pocketbook 2017. </w:t>
      </w:r>
      <w:hyperlink r:id="rId18" w:history="1">
        <w:r w:rsidRPr="00E279A8">
          <w:rPr>
            <w:rStyle w:val="Hyperlink"/>
            <w:lang w:val="en-GB"/>
          </w:rPr>
          <w:t>https://ec.europa.eu/transport/sites/tr</w:t>
        </w:r>
        <w:r w:rsidRPr="00E279A8">
          <w:rPr>
            <w:rStyle w:val="Hyperlink"/>
            <w:lang w:val="en-GB"/>
          </w:rPr>
          <w:t>a</w:t>
        </w:r>
        <w:r w:rsidRPr="00E279A8">
          <w:rPr>
            <w:rStyle w:val="Hyperlink"/>
            <w:lang w:val="en-GB"/>
          </w:rPr>
          <w:t>nsport/files/pocketbook2017.pdf</w:t>
        </w:r>
      </w:hyperlink>
      <w:r w:rsidR="00BE275D">
        <w:rPr>
          <w:rStyle w:val="Hyperlink"/>
          <w:lang w:val="en-GB"/>
        </w:rPr>
        <w:t xml:space="preserve"> </w:t>
      </w:r>
      <w:r w:rsidR="00BE275D" w:rsidRPr="000D6680">
        <w:t>Accessed 22 December 2017.</w:t>
      </w:r>
    </w:p>
    <w:p w14:paraId="24CCC458" w14:textId="77777777" w:rsidR="001F1588" w:rsidRPr="006051FC" w:rsidRDefault="001F1588" w:rsidP="00901DF3">
      <w:pPr>
        <w:spacing w:after="120" w:line="480" w:lineRule="auto"/>
        <w:ind w:left="737" w:hanging="737"/>
        <w:rPr>
          <w:lang w:val="en-US"/>
        </w:rPr>
      </w:pPr>
      <w:r w:rsidRPr="006051FC">
        <w:rPr>
          <w:lang w:val="en-US"/>
        </w:rPr>
        <w:lastRenderedPageBreak/>
        <w:t xml:space="preserve">EEA (2010). Occupancy rates of passenger vehicles. Available: </w:t>
      </w:r>
      <w:hyperlink r:id="rId19" w:history="1">
        <w:r w:rsidRPr="006051FC">
          <w:rPr>
            <w:rStyle w:val="Hyperlink"/>
            <w:lang w:val="en-US"/>
          </w:rPr>
          <w:t>https://www.eea.europa.eu/downloads/90455cbdfeff89c2c6149387ee11e4ea/1441389594/occupancy-rates-of-passenger-vehicles-1.pdf?direct=1</w:t>
        </w:r>
      </w:hyperlink>
      <w:r w:rsidRPr="006051FC">
        <w:rPr>
          <w:lang w:val="en-US"/>
        </w:rPr>
        <w:t xml:space="preserve"> Accessed 3 January 2018.</w:t>
      </w:r>
    </w:p>
    <w:p w14:paraId="5E952F0C" w14:textId="5390561A" w:rsidR="001F1588" w:rsidRPr="006051FC" w:rsidRDefault="001F1588" w:rsidP="00901DF3">
      <w:pPr>
        <w:spacing w:after="120" w:line="480" w:lineRule="auto"/>
        <w:ind w:left="737" w:hanging="737"/>
        <w:rPr>
          <w:lang w:val="en-US"/>
        </w:rPr>
      </w:pPr>
      <w:r w:rsidRPr="006051FC">
        <w:rPr>
          <w:lang w:val="en-US"/>
        </w:rPr>
        <w:t>EEA (2017</w:t>
      </w:r>
      <w:r w:rsidR="00167A0C" w:rsidRPr="006051FC">
        <w:rPr>
          <w:lang w:val="en-US"/>
        </w:rPr>
        <w:t>a</w:t>
      </w:r>
      <w:r w:rsidRPr="006051FC">
        <w:rPr>
          <w:lang w:val="en-US"/>
        </w:rPr>
        <w:t xml:space="preserve">). Air quality in Europe 2017. Available: </w:t>
      </w:r>
      <w:hyperlink r:id="rId20" w:history="1">
        <w:r w:rsidRPr="006051FC">
          <w:rPr>
            <w:rStyle w:val="Hyperlink"/>
            <w:lang w:val="en-US"/>
          </w:rPr>
          <w:t>https://www.eea.europa.eu/publications/air-quality-in-europe-2017</w:t>
        </w:r>
      </w:hyperlink>
      <w:r w:rsidRPr="006051FC">
        <w:rPr>
          <w:lang w:val="en-US"/>
        </w:rPr>
        <w:t xml:space="preserve"> Accessed 10 February 2018.</w:t>
      </w:r>
    </w:p>
    <w:p w14:paraId="7F9D571F" w14:textId="52242CAF" w:rsidR="00167A0C" w:rsidRPr="006051FC" w:rsidRDefault="00167A0C" w:rsidP="00901DF3">
      <w:pPr>
        <w:spacing w:after="120" w:line="480" w:lineRule="auto"/>
        <w:ind w:left="737" w:hanging="737"/>
        <w:rPr>
          <w:lang w:val="en-US"/>
        </w:rPr>
      </w:pPr>
      <w:r w:rsidRPr="006051FC">
        <w:rPr>
          <w:lang w:val="en-US"/>
        </w:rPr>
        <w:t xml:space="preserve">EEA (2017b). Noise. Available: </w:t>
      </w:r>
      <w:hyperlink r:id="rId21" w:history="1">
        <w:r w:rsidRPr="006051FC">
          <w:rPr>
            <w:rStyle w:val="Hyperlink"/>
            <w:lang w:val="en-US"/>
          </w:rPr>
          <w:t>https://www.eea.europa.eu/themes/human/noise/noise-2</w:t>
        </w:r>
      </w:hyperlink>
      <w:r w:rsidRPr="006051FC">
        <w:rPr>
          <w:lang w:val="en-US"/>
        </w:rPr>
        <w:t xml:space="preserve"> Accessed 10 February 2017.</w:t>
      </w:r>
    </w:p>
    <w:p w14:paraId="1C3AB95A" w14:textId="77777777" w:rsidR="001F1588" w:rsidRPr="006051FC" w:rsidRDefault="001F1588" w:rsidP="00901DF3">
      <w:pPr>
        <w:spacing w:after="120" w:line="480" w:lineRule="auto"/>
        <w:ind w:left="737" w:hanging="737"/>
        <w:rPr>
          <w:lang w:val="en-US"/>
        </w:rPr>
      </w:pPr>
      <w:r w:rsidRPr="006051FC">
        <w:rPr>
          <w:lang w:val="en-US"/>
        </w:rPr>
        <w:t xml:space="preserve">EEA (2017c). Heavy metal emissions. Available: </w:t>
      </w:r>
      <w:hyperlink r:id="rId22" w:history="1">
        <w:r w:rsidRPr="006051FC">
          <w:rPr>
            <w:rStyle w:val="Hyperlink"/>
            <w:lang w:val="en-US"/>
          </w:rPr>
          <w:t>https://www.eea.europa.eu/data-and-maps/indicators/eea32-heavy-metal-hm-emissions-1/assessment-8</w:t>
        </w:r>
      </w:hyperlink>
      <w:r w:rsidRPr="006051FC">
        <w:rPr>
          <w:lang w:val="en-US"/>
        </w:rPr>
        <w:t xml:space="preserve"> Accessed 15 February 2017.</w:t>
      </w:r>
    </w:p>
    <w:p w14:paraId="13E56AF2" w14:textId="77777777" w:rsidR="001F1588" w:rsidRPr="006051FC" w:rsidRDefault="001F1588" w:rsidP="00901DF3">
      <w:pPr>
        <w:spacing w:after="120" w:line="480" w:lineRule="auto"/>
        <w:ind w:left="737" w:hanging="737"/>
        <w:rPr>
          <w:lang w:val="en-US"/>
        </w:rPr>
      </w:pPr>
      <w:r w:rsidRPr="006051FC">
        <w:rPr>
          <w:lang w:val="en-US"/>
        </w:rPr>
        <w:t xml:space="preserve">EEA (European Environment Agency) (2011). Laying the foundations for greener transport. Available </w:t>
      </w:r>
      <w:hyperlink r:id="rId23" w:history="1">
        <w:r w:rsidRPr="006051FC">
          <w:rPr>
            <w:rStyle w:val="Hyperlink"/>
            <w:lang w:val="en-US"/>
          </w:rPr>
          <w:t>https://www.eea.europa.eu/publications/foundations-for-greener-transport</w:t>
        </w:r>
      </w:hyperlink>
      <w:r w:rsidRPr="006051FC">
        <w:rPr>
          <w:lang w:val="en-US"/>
        </w:rPr>
        <w:t xml:space="preserve"> Accessed 27 November 2017.</w:t>
      </w:r>
    </w:p>
    <w:p w14:paraId="634470B2" w14:textId="73C08841" w:rsidR="001F1588" w:rsidRPr="006051FC" w:rsidRDefault="001F1588" w:rsidP="00901DF3">
      <w:pPr>
        <w:spacing w:after="120" w:line="480" w:lineRule="auto"/>
        <w:ind w:left="737" w:hanging="737"/>
        <w:rPr>
          <w:lang w:val="en-US"/>
        </w:rPr>
      </w:pPr>
      <w:r w:rsidRPr="006051FC">
        <w:rPr>
          <w:lang w:val="en-US"/>
        </w:rPr>
        <w:t xml:space="preserve">EEA </w:t>
      </w:r>
      <w:r w:rsidR="00167A0C" w:rsidRPr="006051FC">
        <w:rPr>
          <w:lang w:val="en-US"/>
        </w:rPr>
        <w:t>(</w:t>
      </w:r>
      <w:r w:rsidRPr="006051FC">
        <w:rPr>
          <w:lang w:val="en-US"/>
        </w:rPr>
        <w:t>2016</w:t>
      </w:r>
      <w:r w:rsidR="00167A0C" w:rsidRPr="006051FC">
        <w:rPr>
          <w:lang w:val="en-US"/>
        </w:rPr>
        <w:t>)</w:t>
      </w:r>
      <w:r w:rsidRPr="006051FC">
        <w:rPr>
          <w:lang w:val="en-US"/>
        </w:rPr>
        <w:t>. Air quality in Europe – 2016 report. EEA Report 28/2016. European Environment Agency: Copenhagen.</w:t>
      </w:r>
    </w:p>
    <w:p w14:paraId="04316309" w14:textId="2AE0E0B9" w:rsidR="001F1588" w:rsidRPr="006051FC" w:rsidRDefault="001F1588" w:rsidP="00901DF3">
      <w:pPr>
        <w:spacing w:after="120" w:line="480" w:lineRule="auto"/>
        <w:ind w:left="737" w:hanging="737"/>
        <w:rPr>
          <w:lang w:val="en-US"/>
        </w:rPr>
      </w:pPr>
      <w:r w:rsidRPr="006051FC">
        <w:rPr>
          <w:lang w:val="en-US"/>
        </w:rPr>
        <w:t xml:space="preserve">EIA </w:t>
      </w:r>
      <w:r w:rsidR="00682D03" w:rsidRPr="006051FC">
        <w:rPr>
          <w:lang w:val="en-US"/>
        </w:rPr>
        <w:t>(</w:t>
      </w:r>
      <w:r w:rsidRPr="006051FC">
        <w:rPr>
          <w:lang w:val="en-US"/>
        </w:rPr>
        <w:t>2017</w:t>
      </w:r>
      <w:r w:rsidR="00682D03" w:rsidRPr="006051FC">
        <w:rPr>
          <w:lang w:val="en-US"/>
        </w:rPr>
        <w:t>)</w:t>
      </w:r>
      <w:r w:rsidRPr="006051FC">
        <w:rPr>
          <w:lang w:val="en-US"/>
        </w:rPr>
        <w:t xml:space="preserve">. International Energy Outlook 2017. Available: </w:t>
      </w:r>
      <w:hyperlink r:id="rId24" w:history="1">
        <w:r w:rsidRPr="006051FC">
          <w:rPr>
            <w:rStyle w:val="Hyperlink"/>
            <w:lang w:val="en-US"/>
          </w:rPr>
          <w:t>https://www.eia.gov/outlooks</w:t>
        </w:r>
        <w:r w:rsidRPr="006051FC">
          <w:rPr>
            <w:rStyle w:val="Hyperlink"/>
            <w:lang w:val="en-US"/>
          </w:rPr>
          <w:t>/</w:t>
        </w:r>
        <w:r w:rsidRPr="006051FC">
          <w:rPr>
            <w:rStyle w:val="Hyperlink"/>
            <w:lang w:val="en-US"/>
          </w:rPr>
          <w:t>ieo/pd</w:t>
        </w:r>
        <w:r w:rsidRPr="006051FC">
          <w:rPr>
            <w:rStyle w:val="Hyperlink"/>
            <w:lang w:val="en-US"/>
          </w:rPr>
          <w:t>f</w:t>
        </w:r>
        <w:r w:rsidRPr="006051FC">
          <w:rPr>
            <w:rStyle w:val="Hyperlink"/>
            <w:lang w:val="en-US"/>
          </w:rPr>
          <w:t>/0484(2017).pdf</w:t>
        </w:r>
      </w:hyperlink>
      <w:r w:rsidRPr="006051FC">
        <w:rPr>
          <w:lang w:val="en-US"/>
        </w:rPr>
        <w:t xml:space="preserve"> Accessed 23 November 2017.</w:t>
      </w:r>
    </w:p>
    <w:p w14:paraId="75B10E88" w14:textId="77777777" w:rsidR="001F1588" w:rsidRPr="006051FC" w:rsidRDefault="001F1588" w:rsidP="00901DF3">
      <w:pPr>
        <w:spacing w:after="120" w:line="480" w:lineRule="auto"/>
        <w:ind w:left="737" w:hanging="737"/>
        <w:rPr>
          <w:bCs/>
          <w:lang w:val="en-US"/>
        </w:rPr>
      </w:pPr>
      <w:r w:rsidRPr="006051FC">
        <w:rPr>
          <w:bCs/>
          <w:lang w:val="en-US"/>
        </w:rPr>
        <w:t xml:space="preserve">EPA (2010). Guidelines for Preparing Economic Analyses. Available: </w:t>
      </w:r>
      <w:hyperlink r:id="rId25" w:history="1">
        <w:r w:rsidRPr="006051FC">
          <w:rPr>
            <w:rStyle w:val="Hyperlink"/>
            <w:bCs/>
            <w:lang w:val="en-US"/>
          </w:rPr>
          <w:t>https://www.epa.gov/environmental-economics/guidelines-preparing-economic-analyses</w:t>
        </w:r>
      </w:hyperlink>
      <w:r w:rsidRPr="006051FC">
        <w:rPr>
          <w:bCs/>
          <w:lang w:val="en-US"/>
        </w:rPr>
        <w:t xml:space="preserve"> Accessed 21 December 2017.</w:t>
      </w:r>
    </w:p>
    <w:p w14:paraId="24877570" w14:textId="77777777" w:rsidR="001F1588" w:rsidRPr="006051FC" w:rsidRDefault="001F1588" w:rsidP="00901DF3">
      <w:pPr>
        <w:spacing w:after="120" w:line="480" w:lineRule="auto"/>
        <w:ind w:left="737" w:hanging="737"/>
        <w:rPr>
          <w:lang w:val="en-US"/>
        </w:rPr>
      </w:pPr>
      <w:r w:rsidRPr="006051FC">
        <w:rPr>
          <w:lang w:val="en-US"/>
        </w:rPr>
        <w:t xml:space="preserve">EPA (2017). Mortality Risk Valuation. Available: </w:t>
      </w:r>
      <w:hyperlink r:id="rId26" w:history="1">
        <w:r w:rsidRPr="006051FC">
          <w:rPr>
            <w:rStyle w:val="Hyperlink"/>
            <w:lang w:val="en-US"/>
          </w:rPr>
          <w:t>https://www.epa.gov/environmental-economics/mortality-risk-valuation</w:t>
        </w:r>
      </w:hyperlink>
      <w:r w:rsidRPr="006051FC">
        <w:rPr>
          <w:lang w:val="en-US"/>
        </w:rPr>
        <w:t xml:space="preserve"> Accessed 21 December 2017.</w:t>
      </w:r>
    </w:p>
    <w:p w14:paraId="7BB1113E" w14:textId="77777777" w:rsidR="001F1588" w:rsidRPr="006051FC" w:rsidRDefault="001F1588" w:rsidP="00901DF3">
      <w:pPr>
        <w:spacing w:after="120" w:line="480" w:lineRule="auto"/>
        <w:ind w:left="737" w:hanging="737"/>
        <w:rPr>
          <w:lang w:val="en-US"/>
        </w:rPr>
      </w:pPr>
      <w:r w:rsidRPr="006051FC">
        <w:rPr>
          <w:lang w:val="en-US"/>
        </w:rPr>
        <w:lastRenderedPageBreak/>
        <w:t xml:space="preserve">European Commission (2014) Guide to cost-benefit analysis of investment projects. Available: </w:t>
      </w:r>
      <w:hyperlink r:id="rId27" w:history="1">
        <w:r w:rsidRPr="006051FC">
          <w:rPr>
            <w:rStyle w:val="Hyperlink"/>
            <w:lang w:val="en-US"/>
          </w:rPr>
          <w:t>http://ec.europa.eu/regional_policy/sources/docgener/studies/pdf/cba_guide.pdf. Accessed 16 November 2017</w:t>
        </w:r>
      </w:hyperlink>
      <w:r w:rsidRPr="006051FC">
        <w:rPr>
          <w:lang w:val="en-US"/>
        </w:rPr>
        <w:t>.</w:t>
      </w:r>
    </w:p>
    <w:p w14:paraId="52EF6345" w14:textId="63D21937" w:rsidR="001F1588" w:rsidRPr="006051FC" w:rsidRDefault="001F1588" w:rsidP="00901DF3">
      <w:pPr>
        <w:spacing w:after="120" w:line="480" w:lineRule="auto"/>
        <w:ind w:left="737" w:hanging="737"/>
        <w:rPr>
          <w:lang w:val="en-US"/>
        </w:rPr>
      </w:pPr>
      <w:r w:rsidRPr="006051FC">
        <w:rPr>
          <w:lang w:val="en-US"/>
        </w:rPr>
        <w:t>European Commission</w:t>
      </w:r>
      <w:r w:rsidR="00682D03" w:rsidRPr="006051FC">
        <w:rPr>
          <w:lang w:val="en-US"/>
        </w:rPr>
        <w:t xml:space="preserve"> (EC)</w:t>
      </w:r>
      <w:r w:rsidRPr="006051FC">
        <w:rPr>
          <w:lang w:val="en-US"/>
        </w:rPr>
        <w:t xml:space="preserve"> </w:t>
      </w:r>
      <w:r w:rsidR="00682D03" w:rsidRPr="006051FC">
        <w:rPr>
          <w:lang w:val="en-US"/>
        </w:rPr>
        <w:t>(</w:t>
      </w:r>
      <w:r w:rsidRPr="006051FC">
        <w:rPr>
          <w:lang w:val="en-US"/>
        </w:rPr>
        <w:t>2014</w:t>
      </w:r>
      <w:r w:rsidR="00682D03" w:rsidRPr="006051FC">
        <w:rPr>
          <w:lang w:val="en-US"/>
        </w:rPr>
        <w:t>)</w:t>
      </w:r>
      <w:r w:rsidRPr="006051FC">
        <w:rPr>
          <w:lang w:val="en-US"/>
        </w:rPr>
        <w:t xml:space="preserve">. Update of the Handbook on External Costs of Transport. Final Report. Available from: </w:t>
      </w:r>
      <w:hyperlink r:id="rId28" w:history="1">
        <w:r w:rsidRPr="006051FC">
          <w:rPr>
            <w:rStyle w:val="Hyperlink"/>
            <w:lang w:val="en-US"/>
          </w:rPr>
          <w:t>http://ec.europa.eu/transport/themes/sustainable/studies/doc/2014-handbook-external-costs-transport.pdf</w:t>
        </w:r>
      </w:hyperlink>
      <w:r w:rsidRPr="006051FC">
        <w:rPr>
          <w:lang w:val="en-US"/>
        </w:rPr>
        <w:t xml:space="preserve"> Accessed 1 May 2014.</w:t>
      </w:r>
    </w:p>
    <w:p w14:paraId="44C02FB3" w14:textId="3BFBB044" w:rsidR="001F1588" w:rsidRPr="006051FC" w:rsidRDefault="001F1588" w:rsidP="00901DF3">
      <w:pPr>
        <w:spacing w:after="120" w:line="480" w:lineRule="auto"/>
        <w:ind w:left="737" w:hanging="737"/>
        <w:rPr>
          <w:lang w:val="en-US"/>
        </w:rPr>
      </w:pPr>
      <w:r w:rsidRPr="006051FC">
        <w:rPr>
          <w:lang w:val="en-US"/>
        </w:rPr>
        <w:t xml:space="preserve">European Cyclists’ Federation (ECF) </w:t>
      </w:r>
      <w:r w:rsidR="00682D03" w:rsidRPr="006051FC">
        <w:rPr>
          <w:lang w:val="en-US"/>
        </w:rPr>
        <w:t>(</w:t>
      </w:r>
      <w:r w:rsidRPr="006051FC">
        <w:rPr>
          <w:lang w:val="en-US"/>
        </w:rPr>
        <w:t>2016</w:t>
      </w:r>
      <w:r w:rsidR="00682D03" w:rsidRPr="006051FC">
        <w:rPr>
          <w:lang w:val="en-US"/>
        </w:rPr>
        <w:t>)</w:t>
      </w:r>
      <w:r w:rsidRPr="006051FC">
        <w:rPr>
          <w:lang w:val="en-US"/>
        </w:rPr>
        <w:t>. The EU Cycling Economy – Arguments for an integrated EU cycling policy. European Cyclists’ Federation, Brussels, December 2016.</w:t>
      </w:r>
    </w:p>
    <w:p w14:paraId="1BF2B381" w14:textId="1838D048" w:rsidR="001F1588" w:rsidRPr="006051FC" w:rsidRDefault="001F1588" w:rsidP="00901DF3">
      <w:pPr>
        <w:spacing w:after="120" w:line="480" w:lineRule="auto"/>
        <w:ind w:left="737" w:hanging="737"/>
        <w:rPr>
          <w:lang w:val="en-US"/>
        </w:rPr>
      </w:pPr>
      <w:r w:rsidRPr="006051FC">
        <w:rPr>
          <w:lang w:val="en-US"/>
        </w:rPr>
        <w:t xml:space="preserve">European Environment Agency </w:t>
      </w:r>
      <w:r w:rsidR="00682D03" w:rsidRPr="006051FC">
        <w:rPr>
          <w:lang w:val="en-US"/>
        </w:rPr>
        <w:t>(</w:t>
      </w:r>
      <w:r w:rsidRPr="006051FC">
        <w:rPr>
          <w:lang w:val="en-US"/>
        </w:rPr>
        <w:t>2003</w:t>
      </w:r>
      <w:r w:rsidR="00682D03" w:rsidRPr="006051FC">
        <w:rPr>
          <w:lang w:val="en-US"/>
        </w:rPr>
        <w:t>)</w:t>
      </w:r>
      <w:r w:rsidRPr="006051FC">
        <w:rPr>
          <w:lang w:val="en-US"/>
        </w:rPr>
        <w:t xml:space="preserve">. External costs of transport. Available from: </w:t>
      </w:r>
      <w:hyperlink r:id="rId29" w:history="1">
        <w:r w:rsidRPr="006051FC">
          <w:rPr>
            <w:rStyle w:val="Hyperlink"/>
            <w:lang w:val="en-US"/>
          </w:rPr>
          <w:t>http://www.eea.europa.eu/data-and-maps/indicators/external-costs-of-transport-1</w:t>
        </w:r>
      </w:hyperlink>
      <w:r w:rsidRPr="006051FC">
        <w:rPr>
          <w:lang w:val="en-US"/>
        </w:rPr>
        <w:t xml:space="preserve"> Accessed 1 May 2014.</w:t>
      </w:r>
    </w:p>
    <w:p w14:paraId="4D611F88" w14:textId="77777777" w:rsidR="009B009B" w:rsidRPr="006051FC" w:rsidRDefault="001F1588" w:rsidP="00901DF3">
      <w:pPr>
        <w:spacing w:after="120" w:line="480" w:lineRule="auto"/>
        <w:ind w:left="737" w:hanging="737"/>
        <w:rPr>
          <w:lang w:val="en-US"/>
        </w:rPr>
      </w:pPr>
      <w:r w:rsidRPr="005C31EB">
        <w:rPr>
          <w:bCs/>
        </w:rPr>
        <w:t xml:space="preserve">Fontaras, G., Zacharof, N. G., &amp; Ciuffo, B. (2017). </w:t>
      </w:r>
      <w:r w:rsidRPr="006051FC">
        <w:rPr>
          <w:bCs/>
          <w:lang w:val="en-US"/>
        </w:rPr>
        <w:t>Fuel consumption and CO</w:t>
      </w:r>
      <w:r w:rsidRPr="006051FC">
        <w:rPr>
          <w:bCs/>
          <w:vertAlign w:val="subscript"/>
          <w:lang w:val="en-US"/>
        </w:rPr>
        <w:t>2</w:t>
      </w:r>
      <w:r w:rsidRPr="006051FC">
        <w:rPr>
          <w:bCs/>
          <w:lang w:val="en-US"/>
        </w:rPr>
        <w:t xml:space="preserve"> emissions from passenger cars in Europe–Laboratory versus real-world emissions. </w:t>
      </w:r>
      <w:r w:rsidRPr="006051FC">
        <w:rPr>
          <w:bCs/>
          <w:i/>
          <w:iCs/>
          <w:lang w:val="en-US"/>
        </w:rPr>
        <w:t>Progress in Energy and Combustion Science</w:t>
      </w:r>
      <w:r w:rsidRPr="006051FC">
        <w:rPr>
          <w:bCs/>
          <w:lang w:val="en-US"/>
        </w:rPr>
        <w:t>, </w:t>
      </w:r>
      <w:r w:rsidRPr="006051FC">
        <w:rPr>
          <w:bCs/>
          <w:i/>
          <w:iCs/>
          <w:lang w:val="en-US"/>
        </w:rPr>
        <w:t>60</w:t>
      </w:r>
      <w:r w:rsidRPr="006051FC">
        <w:rPr>
          <w:bCs/>
          <w:lang w:val="en-US"/>
        </w:rPr>
        <w:t>, 97-131.</w:t>
      </w:r>
    </w:p>
    <w:p w14:paraId="739AB97A" w14:textId="10DE17E0" w:rsidR="001F1588" w:rsidRPr="009B009B" w:rsidRDefault="001F1588" w:rsidP="00901DF3">
      <w:pPr>
        <w:spacing w:after="120" w:line="480" w:lineRule="auto"/>
        <w:ind w:left="737" w:hanging="737"/>
      </w:pPr>
      <w:r w:rsidRPr="006051FC">
        <w:rPr>
          <w:bCs/>
          <w:lang w:val="en-US"/>
        </w:rPr>
        <w:t>Forsyth, A. (2015). What is a walkable place? The walkability debate in urban design. </w:t>
      </w:r>
      <w:r w:rsidRPr="00CF5F02">
        <w:rPr>
          <w:bCs/>
          <w:i/>
          <w:iCs/>
        </w:rPr>
        <w:t xml:space="preserve">Urban </w:t>
      </w:r>
      <w:r w:rsidR="009B009B" w:rsidRPr="00CF5F02">
        <w:rPr>
          <w:bCs/>
          <w:i/>
          <w:iCs/>
        </w:rPr>
        <w:t>Design I</w:t>
      </w:r>
      <w:r w:rsidRPr="00CF5F02">
        <w:rPr>
          <w:bCs/>
          <w:i/>
          <w:iCs/>
        </w:rPr>
        <w:t>nternational</w:t>
      </w:r>
      <w:r w:rsidRPr="00CF5F02">
        <w:rPr>
          <w:bCs/>
        </w:rPr>
        <w:t>, </w:t>
      </w:r>
      <w:r w:rsidRPr="00CF5F02">
        <w:rPr>
          <w:bCs/>
          <w:i/>
          <w:iCs/>
        </w:rPr>
        <w:t>20</w:t>
      </w:r>
      <w:r w:rsidRPr="00CF5F02">
        <w:rPr>
          <w:bCs/>
        </w:rPr>
        <w:t>(4), 274-292.</w:t>
      </w:r>
    </w:p>
    <w:p w14:paraId="11CA750F" w14:textId="5DDAECFB" w:rsidR="001F1588" w:rsidRPr="006051FC" w:rsidRDefault="00682D03" w:rsidP="00901DF3">
      <w:pPr>
        <w:spacing w:after="120" w:line="480" w:lineRule="auto"/>
        <w:ind w:left="737" w:hanging="737"/>
        <w:rPr>
          <w:lang w:val="en-US"/>
        </w:rPr>
      </w:pPr>
      <w:r w:rsidRPr="006051FC">
        <w:rPr>
          <w:lang w:val="en-US"/>
        </w:rPr>
        <w:t>Forsyth, A. and</w:t>
      </w:r>
      <w:r w:rsidR="001F1588" w:rsidRPr="006051FC">
        <w:rPr>
          <w:lang w:val="en-US"/>
        </w:rPr>
        <w:t xml:space="preserve"> Krizek, K. </w:t>
      </w:r>
      <w:r w:rsidRPr="006051FC">
        <w:rPr>
          <w:lang w:val="en-US"/>
        </w:rPr>
        <w:t>(</w:t>
      </w:r>
      <w:r w:rsidR="001F1588" w:rsidRPr="006051FC">
        <w:rPr>
          <w:lang w:val="en-US"/>
        </w:rPr>
        <w:t>2011</w:t>
      </w:r>
      <w:r w:rsidRPr="006051FC">
        <w:rPr>
          <w:lang w:val="en-US"/>
        </w:rPr>
        <w:t>)</w:t>
      </w:r>
      <w:r w:rsidR="001F1588" w:rsidRPr="006051FC">
        <w:rPr>
          <w:lang w:val="en-US"/>
        </w:rPr>
        <w:t xml:space="preserve">. Urban Design: Is there a Distinctive View from the Bicycle?, </w:t>
      </w:r>
      <w:r w:rsidR="001F1588" w:rsidRPr="006051FC">
        <w:rPr>
          <w:i/>
          <w:lang w:val="en-US"/>
        </w:rPr>
        <w:t>Journal of Urban Design</w:t>
      </w:r>
      <w:r w:rsidR="001F1588" w:rsidRPr="006051FC">
        <w:rPr>
          <w:lang w:val="en-US"/>
        </w:rPr>
        <w:t>, 16:4, 531-549</w:t>
      </w:r>
    </w:p>
    <w:p w14:paraId="1EF97E1E" w14:textId="77777777" w:rsidR="001F1588" w:rsidRPr="006051FC" w:rsidRDefault="001F1588" w:rsidP="00901DF3">
      <w:pPr>
        <w:spacing w:after="120" w:line="480" w:lineRule="auto"/>
        <w:ind w:left="737" w:hanging="737"/>
        <w:rPr>
          <w:lang w:val="en-US"/>
        </w:rPr>
      </w:pPr>
      <w:r w:rsidRPr="006051FC">
        <w:rPr>
          <w:lang w:val="en-US"/>
        </w:rPr>
        <w:t>Frank, L. D., Sallis, J. F., Saelens, B. E., Leary, L., Cain, K., Conway, T. L., &amp; Hess, P. M. (2010). The development of a walkability index: application to the Neighborhood Quality of Life Study. </w:t>
      </w:r>
      <w:r w:rsidRPr="006051FC">
        <w:rPr>
          <w:i/>
          <w:iCs/>
          <w:lang w:val="en-US"/>
        </w:rPr>
        <w:t>British Journal of Sports Medicine</w:t>
      </w:r>
      <w:r w:rsidRPr="006051FC">
        <w:rPr>
          <w:lang w:val="en-US"/>
        </w:rPr>
        <w:t>, </w:t>
      </w:r>
      <w:r w:rsidRPr="006051FC">
        <w:rPr>
          <w:i/>
          <w:iCs/>
          <w:lang w:val="en-US"/>
        </w:rPr>
        <w:t>44</w:t>
      </w:r>
      <w:r w:rsidRPr="006051FC">
        <w:rPr>
          <w:lang w:val="en-US"/>
        </w:rPr>
        <w:t>(13), 924-933.</w:t>
      </w:r>
    </w:p>
    <w:p w14:paraId="398F7824" w14:textId="6ED3D586" w:rsidR="001D5BAE" w:rsidRPr="006051FC" w:rsidRDefault="001D5BAE" w:rsidP="00901DF3">
      <w:pPr>
        <w:spacing w:after="120" w:line="480" w:lineRule="auto"/>
        <w:ind w:left="737" w:hanging="737"/>
        <w:rPr>
          <w:lang w:val="en-US"/>
        </w:rPr>
      </w:pPr>
      <w:r w:rsidRPr="006051FC">
        <w:rPr>
          <w:lang w:val="en-US"/>
        </w:rPr>
        <w:lastRenderedPageBreak/>
        <w:t>Fraser, S. D., &amp; Lock, K. (2011). Cycling for transport and public health: a systematic review of the effect of the environment on cycling. </w:t>
      </w:r>
      <w:r w:rsidRPr="006051FC">
        <w:rPr>
          <w:i/>
          <w:iCs/>
          <w:lang w:val="en-US"/>
        </w:rPr>
        <w:t>European Journal of Public Health</w:t>
      </w:r>
      <w:r w:rsidRPr="006051FC">
        <w:rPr>
          <w:lang w:val="en-US"/>
        </w:rPr>
        <w:t>, </w:t>
      </w:r>
      <w:r w:rsidRPr="006051FC">
        <w:rPr>
          <w:i/>
          <w:iCs/>
          <w:lang w:val="en-US"/>
        </w:rPr>
        <w:t>21</w:t>
      </w:r>
      <w:r w:rsidRPr="006051FC">
        <w:rPr>
          <w:lang w:val="en-US"/>
        </w:rPr>
        <w:t>(6), 738-743.</w:t>
      </w:r>
    </w:p>
    <w:p w14:paraId="0681CC17" w14:textId="488186BA" w:rsidR="001F1588" w:rsidRPr="006051FC" w:rsidRDefault="001F1588" w:rsidP="00901DF3">
      <w:pPr>
        <w:spacing w:after="120" w:line="480" w:lineRule="auto"/>
        <w:ind w:left="737" w:hanging="737"/>
        <w:rPr>
          <w:bCs/>
          <w:lang w:val="en-US"/>
        </w:rPr>
      </w:pPr>
      <w:r w:rsidRPr="006051FC">
        <w:rPr>
          <w:bCs/>
          <w:lang w:val="en-US"/>
        </w:rPr>
        <w:t>Fritz, S., &amp; Lusardi, M. (2009). White paper:</w:t>
      </w:r>
      <w:r w:rsidR="001D5BAE" w:rsidRPr="006051FC">
        <w:rPr>
          <w:bCs/>
          <w:lang w:val="en-US"/>
        </w:rPr>
        <w:t xml:space="preserve"> </w:t>
      </w:r>
      <w:r w:rsidRPr="006051FC">
        <w:rPr>
          <w:bCs/>
          <w:lang w:val="en-US"/>
        </w:rPr>
        <w:t>“walking speed: the sixth vital sign”. </w:t>
      </w:r>
      <w:r w:rsidRPr="006051FC">
        <w:rPr>
          <w:bCs/>
          <w:i/>
          <w:iCs/>
          <w:lang w:val="en-US"/>
        </w:rPr>
        <w:t xml:space="preserve">Journal of </w:t>
      </w:r>
      <w:r w:rsidR="009B009B" w:rsidRPr="006051FC">
        <w:rPr>
          <w:bCs/>
          <w:i/>
          <w:iCs/>
          <w:lang w:val="en-US"/>
        </w:rPr>
        <w:t>G</w:t>
      </w:r>
      <w:r w:rsidRPr="006051FC">
        <w:rPr>
          <w:bCs/>
          <w:i/>
          <w:iCs/>
          <w:lang w:val="en-US"/>
        </w:rPr>
        <w:t xml:space="preserve">eriatric </w:t>
      </w:r>
      <w:r w:rsidR="009B009B" w:rsidRPr="006051FC">
        <w:rPr>
          <w:bCs/>
          <w:i/>
          <w:iCs/>
          <w:lang w:val="en-US"/>
        </w:rPr>
        <w:t>P</w:t>
      </w:r>
      <w:r w:rsidRPr="006051FC">
        <w:rPr>
          <w:bCs/>
          <w:i/>
          <w:iCs/>
          <w:lang w:val="en-US"/>
        </w:rPr>
        <w:t xml:space="preserve">hysical </w:t>
      </w:r>
      <w:r w:rsidR="009B009B" w:rsidRPr="006051FC">
        <w:rPr>
          <w:bCs/>
          <w:i/>
          <w:iCs/>
          <w:lang w:val="en-US"/>
        </w:rPr>
        <w:t>T</w:t>
      </w:r>
      <w:r w:rsidRPr="006051FC">
        <w:rPr>
          <w:bCs/>
          <w:i/>
          <w:iCs/>
          <w:lang w:val="en-US"/>
        </w:rPr>
        <w:t>herapy</w:t>
      </w:r>
      <w:r w:rsidRPr="006051FC">
        <w:rPr>
          <w:bCs/>
          <w:lang w:val="en-US"/>
        </w:rPr>
        <w:t>, </w:t>
      </w:r>
      <w:r w:rsidRPr="006051FC">
        <w:rPr>
          <w:bCs/>
          <w:i/>
          <w:iCs/>
          <w:lang w:val="en-US"/>
        </w:rPr>
        <w:t>32</w:t>
      </w:r>
      <w:r w:rsidRPr="006051FC">
        <w:rPr>
          <w:bCs/>
          <w:lang w:val="en-US"/>
        </w:rPr>
        <w:t>(2), 2-5.</w:t>
      </w:r>
    </w:p>
    <w:p w14:paraId="1C97075F" w14:textId="6D35DA07" w:rsidR="00AC22DB" w:rsidRPr="00AC22DB" w:rsidRDefault="00AC22DB" w:rsidP="00AC22DB">
      <w:pPr>
        <w:spacing w:after="120" w:line="480" w:lineRule="auto"/>
        <w:ind w:left="737" w:hanging="737"/>
        <w:rPr>
          <w:bCs/>
          <w:lang w:val="en-US"/>
        </w:rPr>
      </w:pPr>
      <w:r w:rsidRPr="00AC22DB">
        <w:rPr>
          <w:bCs/>
          <w:lang w:val="en-US"/>
        </w:rPr>
        <w:t>Frondel, M. and Vance, C., 2017. Cycling on the extensive and intensive margin: The role of paths and prices. </w:t>
      </w:r>
      <w:r w:rsidRPr="00AC22DB">
        <w:rPr>
          <w:bCs/>
          <w:i/>
          <w:iCs/>
          <w:lang w:val="en-US"/>
        </w:rPr>
        <w:t>Transportation Research Part A: Policy and Practice</w:t>
      </w:r>
      <w:r w:rsidRPr="00AC22DB">
        <w:rPr>
          <w:bCs/>
          <w:lang w:val="en-US"/>
        </w:rPr>
        <w:t>, </w:t>
      </w:r>
      <w:r w:rsidRPr="00AC22DB">
        <w:rPr>
          <w:bCs/>
          <w:i/>
          <w:iCs/>
          <w:lang w:val="en-US"/>
        </w:rPr>
        <w:t>104</w:t>
      </w:r>
      <w:r w:rsidRPr="00AC22DB">
        <w:rPr>
          <w:bCs/>
          <w:lang w:val="en-US"/>
        </w:rPr>
        <w:t>, 21-31.</w:t>
      </w:r>
    </w:p>
    <w:p w14:paraId="3C7F42CE" w14:textId="77777777" w:rsidR="001F1588" w:rsidRPr="00CF5F02" w:rsidRDefault="001F1588" w:rsidP="00901DF3">
      <w:pPr>
        <w:spacing w:after="120" w:line="480" w:lineRule="auto"/>
        <w:ind w:left="737" w:hanging="737"/>
        <w:rPr>
          <w:lang w:val="sv-SE"/>
        </w:rPr>
      </w:pPr>
      <w:r w:rsidRPr="006051FC">
        <w:rPr>
          <w:lang w:val="en-US"/>
        </w:rPr>
        <w:t>Gardner, M., &amp; Weinberg, J. (2013). How lives measure up. </w:t>
      </w:r>
      <w:r w:rsidRPr="00CF5F02">
        <w:rPr>
          <w:i/>
          <w:iCs/>
          <w:lang w:val="sv-SE"/>
        </w:rPr>
        <w:t>Acta Analytica</w:t>
      </w:r>
      <w:r w:rsidRPr="00CF5F02">
        <w:rPr>
          <w:lang w:val="sv-SE"/>
        </w:rPr>
        <w:t>, </w:t>
      </w:r>
      <w:r w:rsidRPr="00CF5F02">
        <w:rPr>
          <w:i/>
          <w:iCs/>
          <w:lang w:val="sv-SE"/>
        </w:rPr>
        <w:t>28</w:t>
      </w:r>
      <w:r w:rsidRPr="00CF5F02">
        <w:rPr>
          <w:lang w:val="sv-SE"/>
        </w:rPr>
        <w:t>(1), 31-48.</w:t>
      </w:r>
    </w:p>
    <w:p w14:paraId="7932B85E" w14:textId="7384EB8B" w:rsidR="001F1588" w:rsidRPr="006051FC" w:rsidRDefault="001F1588" w:rsidP="00901DF3">
      <w:pPr>
        <w:spacing w:after="120" w:line="480" w:lineRule="auto"/>
        <w:ind w:left="737" w:hanging="737"/>
        <w:rPr>
          <w:lang w:val="en-US"/>
        </w:rPr>
      </w:pPr>
      <w:r w:rsidRPr="00FD795E">
        <w:rPr>
          <w:lang w:val="sv-SE"/>
        </w:rPr>
        <w:t>Genter, J.A., Donovan,</w:t>
      </w:r>
      <w:r w:rsidR="00682D03">
        <w:rPr>
          <w:lang w:val="sv-SE"/>
        </w:rPr>
        <w:t xml:space="preserve"> S., Petrenas, B. &amp; Badland, H.</w:t>
      </w:r>
      <w:r w:rsidRPr="00FD795E">
        <w:rPr>
          <w:lang w:val="sv-SE"/>
        </w:rPr>
        <w:t xml:space="preserve"> </w:t>
      </w:r>
      <w:r w:rsidR="00682D03">
        <w:rPr>
          <w:lang w:val="sv-SE"/>
        </w:rPr>
        <w:t>(</w:t>
      </w:r>
      <w:r w:rsidRPr="00FD795E">
        <w:rPr>
          <w:lang w:val="sv-SE"/>
        </w:rPr>
        <w:t>2008</w:t>
      </w:r>
      <w:r w:rsidR="00682D03">
        <w:rPr>
          <w:lang w:val="sv-SE"/>
        </w:rPr>
        <w:t>)</w:t>
      </w:r>
      <w:r w:rsidRPr="00FD795E">
        <w:rPr>
          <w:lang w:val="sv-SE"/>
        </w:rPr>
        <w:t xml:space="preserve">. </w:t>
      </w:r>
      <w:r w:rsidRPr="006051FC">
        <w:rPr>
          <w:i/>
          <w:iCs/>
          <w:lang w:val="en-US"/>
        </w:rPr>
        <w:t>Valuing the health benefits of active transportation modes</w:t>
      </w:r>
      <w:r w:rsidRPr="006051FC">
        <w:rPr>
          <w:lang w:val="en-US"/>
        </w:rPr>
        <w:t xml:space="preserve">. NZ Transport Agency. </w:t>
      </w:r>
    </w:p>
    <w:p w14:paraId="234B1C7E" w14:textId="77777777" w:rsidR="001D5BAE" w:rsidRPr="006051FC" w:rsidRDefault="001D5BAE" w:rsidP="00901DF3">
      <w:pPr>
        <w:spacing w:after="120" w:line="480" w:lineRule="auto"/>
        <w:ind w:left="737" w:hanging="737"/>
        <w:rPr>
          <w:lang w:val="en-US"/>
        </w:rPr>
      </w:pPr>
      <w:r w:rsidRPr="006051FC">
        <w:rPr>
          <w:lang w:val="en-US"/>
        </w:rPr>
        <w:t>Gössling, S., &amp; Choi, A. S. (2015). Transport transitions in Copenhagen: Comparing the cost of cars and bicycles. </w:t>
      </w:r>
      <w:r w:rsidRPr="006051FC">
        <w:rPr>
          <w:i/>
          <w:iCs/>
          <w:lang w:val="en-US"/>
        </w:rPr>
        <w:t>Ecological Economics</w:t>
      </w:r>
      <w:r w:rsidRPr="006051FC">
        <w:rPr>
          <w:lang w:val="en-US"/>
        </w:rPr>
        <w:t>, </w:t>
      </w:r>
      <w:r w:rsidRPr="006051FC">
        <w:rPr>
          <w:i/>
          <w:iCs/>
          <w:lang w:val="en-US"/>
        </w:rPr>
        <w:t>113</w:t>
      </w:r>
      <w:r w:rsidRPr="006051FC">
        <w:rPr>
          <w:lang w:val="en-US"/>
        </w:rPr>
        <w:t>, 106-113.</w:t>
      </w:r>
    </w:p>
    <w:p w14:paraId="31088CC3" w14:textId="7A8E2673" w:rsidR="001F1588" w:rsidRPr="00734CD0" w:rsidRDefault="001D5BAE" w:rsidP="00734CD0">
      <w:pPr>
        <w:spacing w:after="120" w:line="480" w:lineRule="auto"/>
        <w:ind w:left="737" w:hanging="737"/>
        <w:rPr>
          <w:lang w:val="en-GB"/>
        </w:rPr>
      </w:pPr>
      <w:r w:rsidRPr="00CE63EF">
        <w:rPr>
          <w:lang w:val="en-US"/>
        </w:rPr>
        <w:t xml:space="preserve">Gössling, S., Humpe, A., </w:t>
      </w:r>
      <w:r w:rsidR="00AD2CFA" w:rsidRPr="00CE63EF">
        <w:rPr>
          <w:lang w:val="en-US"/>
        </w:rPr>
        <w:t xml:space="preserve">Litman, T. </w:t>
      </w:r>
      <w:r w:rsidRPr="00CE63EF">
        <w:rPr>
          <w:lang w:val="en-US"/>
        </w:rPr>
        <w:t xml:space="preserve">and Metzler, D. </w:t>
      </w:r>
      <w:r w:rsidR="001F1588" w:rsidRPr="00CE63EF">
        <w:rPr>
          <w:lang w:val="en-US"/>
        </w:rPr>
        <w:t>(201</w:t>
      </w:r>
      <w:r w:rsidRPr="00CE63EF">
        <w:rPr>
          <w:lang w:val="en-US"/>
        </w:rPr>
        <w:t>8</w:t>
      </w:r>
      <w:r w:rsidR="001F1588" w:rsidRPr="00CE63EF">
        <w:rPr>
          <w:lang w:val="en-US"/>
        </w:rPr>
        <w:t>)</w:t>
      </w:r>
      <w:r w:rsidRPr="00CE63EF">
        <w:rPr>
          <w:lang w:val="en-US"/>
        </w:rPr>
        <w:t xml:space="preserve">. </w:t>
      </w:r>
      <w:r w:rsidR="00734CD0" w:rsidRPr="00734CD0">
        <w:rPr>
          <w:lang w:val="en-GB"/>
        </w:rPr>
        <w:t>Effects of perceived traffic risks, noise, and exhaust smells on bicyclist behaviour: An economic evaluation</w:t>
      </w:r>
      <w:r w:rsidR="00734CD0">
        <w:rPr>
          <w:lang w:val="en-US"/>
        </w:rPr>
        <w:t>. S</w:t>
      </w:r>
      <w:r w:rsidRPr="00734CD0">
        <w:rPr>
          <w:lang w:val="en-US"/>
        </w:rPr>
        <w:t>ubmitted.</w:t>
      </w:r>
    </w:p>
    <w:p w14:paraId="300CE876" w14:textId="7581B285" w:rsidR="001F1588" w:rsidRPr="006051FC" w:rsidRDefault="001F1588" w:rsidP="00901DF3">
      <w:pPr>
        <w:spacing w:after="120" w:line="480" w:lineRule="auto"/>
        <w:ind w:left="737" w:hanging="737"/>
        <w:rPr>
          <w:lang w:val="en-US"/>
        </w:rPr>
      </w:pPr>
      <w:r w:rsidRPr="006051FC">
        <w:rPr>
          <w:lang w:val="en-US"/>
        </w:rPr>
        <w:t>Grant-Muller, S., Mackie,</w:t>
      </w:r>
      <w:r w:rsidR="00682D03" w:rsidRPr="006051FC">
        <w:rPr>
          <w:lang w:val="en-US"/>
        </w:rPr>
        <w:t xml:space="preserve"> P., Nellthorp, J., Pearman, A.</w:t>
      </w:r>
      <w:r w:rsidRPr="006051FC">
        <w:rPr>
          <w:lang w:val="en-US"/>
        </w:rPr>
        <w:t xml:space="preserve"> </w:t>
      </w:r>
      <w:r w:rsidR="00682D03" w:rsidRPr="006051FC">
        <w:rPr>
          <w:lang w:val="en-US"/>
        </w:rPr>
        <w:t>(</w:t>
      </w:r>
      <w:r w:rsidRPr="006051FC">
        <w:rPr>
          <w:lang w:val="en-US"/>
        </w:rPr>
        <w:t>2001</w:t>
      </w:r>
      <w:r w:rsidR="00682D03" w:rsidRPr="006051FC">
        <w:rPr>
          <w:lang w:val="en-US"/>
        </w:rPr>
        <w:t>)</w:t>
      </w:r>
      <w:r w:rsidRPr="006051FC">
        <w:rPr>
          <w:lang w:val="en-US"/>
        </w:rPr>
        <w:t>. Economic appraisal of European transport projects – The state of the art revisited. Transport Reviews 21 (2), 237–261.</w:t>
      </w:r>
    </w:p>
    <w:p w14:paraId="7A3EC59D" w14:textId="1F0FFE14" w:rsidR="001F1588" w:rsidRPr="006051FC" w:rsidRDefault="001F1588" w:rsidP="00901DF3">
      <w:pPr>
        <w:spacing w:after="120" w:line="480" w:lineRule="auto"/>
        <w:ind w:left="737" w:hanging="737"/>
        <w:rPr>
          <w:lang w:val="en-US"/>
        </w:rPr>
      </w:pPr>
      <w:r w:rsidRPr="006051FC">
        <w:rPr>
          <w:lang w:val="en-US"/>
        </w:rPr>
        <w:t>Hall, C. M</w:t>
      </w:r>
      <w:r w:rsidR="00AE4113" w:rsidRPr="006051FC">
        <w:rPr>
          <w:lang w:val="en-US"/>
        </w:rPr>
        <w:t>., Ram, Y., &amp; Shoval, N. (Eds.)</w:t>
      </w:r>
      <w:r w:rsidRPr="006051FC">
        <w:rPr>
          <w:lang w:val="en-US"/>
        </w:rPr>
        <w:t xml:space="preserve"> (2017). </w:t>
      </w:r>
      <w:r w:rsidRPr="006051FC">
        <w:rPr>
          <w:i/>
          <w:iCs/>
          <w:lang w:val="en-US"/>
        </w:rPr>
        <w:t>The Routledge International Handbook of Walking</w:t>
      </w:r>
      <w:r w:rsidRPr="006051FC">
        <w:rPr>
          <w:lang w:val="en-US"/>
        </w:rPr>
        <w:t>. London: Routledge.</w:t>
      </w:r>
    </w:p>
    <w:p w14:paraId="55301491" w14:textId="14507A61" w:rsidR="001F1588" w:rsidRDefault="00AE4113" w:rsidP="00901DF3">
      <w:pPr>
        <w:spacing w:after="120" w:line="480" w:lineRule="auto"/>
        <w:ind w:left="737" w:hanging="737"/>
        <w:rPr>
          <w:lang w:val="en-US"/>
        </w:rPr>
      </w:pPr>
      <w:r w:rsidRPr="006051FC">
        <w:rPr>
          <w:lang w:val="en-US"/>
        </w:rPr>
        <w:t>Hanley, N. and</w:t>
      </w:r>
      <w:r w:rsidR="001F1588" w:rsidRPr="006051FC">
        <w:rPr>
          <w:lang w:val="en-US"/>
        </w:rPr>
        <w:t xml:space="preserve"> Spash, C.L. </w:t>
      </w:r>
      <w:r w:rsidRPr="006051FC">
        <w:rPr>
          <w:lang w:val="en-US"/>
        </w:rPr>
        <w:t>(</w:t>
      </w:r>
      <w:r w:rsidR="001F1588" w:rsidRPr="006051FC">
        <w:rPr>
          <w:lang w:val="en-US"/>
        </w:rPr>
        <w:t>1993</w:t>
      </w:r>
      <w:r w:rsidRPr="006051FC">
        <w:rPr>
          <w:lang w:val="en-US"/>
        </w:rPr>
        <w:t>)</w:t>
      </w:r>
      <w:r w:rsidR="001F1588" w:rsidRPr="006051FC">
        <w:rPr>
          <w:lang w:val="en-US"/>
        </w:rPr>
        <w:t xml:space="preserve">. Cost Benefit Analysis and the Environment. </w:t>
      </w:r>
      <w:r w:rsidRPr="006051FC">
        <w:rPr>
          <w:lang w:val="en-US"/>
        </w:rPr>
        <w:t>Edward Elgar:</w:t>
      </w:r>
      <w:r w:rsidR="001F1588" w:rsidRPr="006051FC">
        <w:rPr>
          <w:lang w:val="en-US"/>
        </w:rPr>
        <w:t xml:space="preserve"> Cheltenham, UK.</w:t>
      </w:r>
    </w:p>
    <w:p w14:paraId="6E73862B" w14:textId="2C765613" w:rsidR="00AD2CFA" w:rsidRPr="00CE63EF" w:rsidRDefault="00AD2CFA" w:rsidP="00AD2CFA">
      <w:pPr>
        <w:spacing w:after="120" w:line="480" w:lineRule="auto"/>
        <w:ind w:left="737" w:hanging="737"/>
        <w:rPr>
          <w:lang w:val="sv-SE"/>
        </w:rPr>
      </w:pPr>
      <w:r w:rsidRPr="00AD2CFA">
        <w:rPr>
          <w:lang w:val="en-US"/>
        </w:rPr>
        <w:lastRenderedPageBreak/>
        <w:t>Hensher, D. A.  </w:t>
      </w:r>
      <w:r>
        <w:rPr>
          <w:lang w:val="en-US"/>
        </w:rPr>
        <w:t xml:space="preserve">(2011). </w:t>
      </w:r>
      <w:r w:rsidRPr="00AD2CFA">
        <w:rPr>
          <w:lang w:val="en-US"/>
        </w:rPr>
        <w:t xml:space="preserve">Valuation of Travel Time Savings. </w:t>
      </w:r>
      <w:r w:rsidRPr="00AD2CFA">
        <w:rPr>
          <w:lang w:val="sv-SE"/>
        </w:rPr>
        <w:t xml:space="preserve">In de Palma, A., Lindsey, R., Quinet, E., Vickerman, R. (Eds). </w:t>
      </w:r>
      <w:r w:rsidRPr="00CE63EF">
        <w:rPr>
          <w:lang w:val="sv-SE"/>
        </w:rPr>
        <w:t>A Handbook of Transport Economics. Cheltenham: Edward Elgar, pp. 135–159. </w:t>
      </w:r>
    </w:p>
    <w:p w14:paraId="2D74651B" w14:textId="77777777" w:rsidR="00CD5666" w:rsidRPr="005C31EB" w:rsidRDefault="00CD5666" w:rsidP="00901DF3">
      <w:pPr>
        <w:spacing w:after="120" w:line="480" w:lineRule="auto"/>
        <w:ind w:left="737" w:hanging="737"/>
        <w:rPr>
          <w:lang w:val="en-US"/>
        </w:rPr>
      </w:pPr>
      <w:r w:rsidRPr="00CE63EF">
        <w:rPr>
          <w:lang w:val="sv-SE"/>
        </w:rPr>
        <w:t xml:space="preserve">Hoek, G., Brunekreef, B., Goldbohm, S., Fischer, P., &amp; van den Brandt, P. A. (2002). </w:t>
      </w:r>
      <w:r w:rsidRPr="00CD5666">
        <w:rPr>
          <w:lang w:val="en-US"/>
        </w:rPr>
        <w:t xml:space="preserve">Association between mortality and indicators of traffic-related air pollution in the Netherlands: a cohort study. </w:t>
      </w:r>
      <w:r w:rsidRPr="005C31EB">
        <w:rPr>
          <w:i/>
          <w:lang w:val="en-US"/>
        </w:rPr>
        <w:t>The Lancet, 360</w:t>
      </w:r>
      <w:r w:rsidRPr="005C31EB">
        <w:rPr>
          <w:lang w:val="en-US"/>
        </w:rPr>
        <w:t xml:space="preserve"> (9341), 1203-1209.</w:t>
      </w:r>
    </w:p>
    <w:p w14:paraId="2445D6A4" w14:textId="2A7BD19B" w:rsidR="001F1588" w:rsidRPr="006051FC" w:rsidRDefault="001F1588" w:rsidP="00901DF3">
      <w:pPr>
        <w:spacing w:after="120" w:line="480" w:lineRule="auto"/>
        <w:ind w:left="737" w:hanging="737"/>
        <w:rPr>
          <w:lang w:val="en-US"/>
        </w:rPr>
      </w:pPr>
      <w:r w:rsidRPr="006051FC">
        <w:rPr>
          <w:lang w:val="en-US"/>
        </w:rPr>
        <w:t>Holm, A.L</w:t>
      </w:r>
      <w:r w:rsidR="00AE4113" w:rsidRPr="006051FC">
        <w:rPr>
          <w:lang w:val="en-US"/>
        </w:rPr>
        <w:t>., Glümer, C. &amp; Diderichsen, F.</w:t>
      </w:r>
      <w:r w:rsidRPr="006051FC">
        <w:rPr>
          <w:lang w:val="en-US"/>
        </w:rPr>
        <w:t xml:space="preserve"> </w:t>
      </w:r>
      <w:r w:rsidR="00AE4113" w:rsidRPr="006051FC">
        <w:rPr>
          <w:lang w:val="en-US"/>
        </w:rPr>
        <w:t>(</w:t>
      </w:r>
      <w:r w:rsidRPr="006051FC">
        <w:rPr>
          <w:lang w:val="en-US"/>
        </w:rPr>
        <w:t>2012</w:t>
      </w:r>
      <w:r w:rsidR="00AE4113" w:rsidRPr="006051FC">
        <w:rPr>
          <w:lang w:val="en-US"/>
        </w:rPr>
        <w:t>)</w:t>
      </w:r>
      <w:r w:rsidRPr="006051FC">
        <w:rPr>
          <w:lang w:val="en-US"/>
        </w:rPr>
        <w:t xml:space="preserve">. Health Impact Assessment of increased cycling to place of work or education in Copenhagen. </w:t>
      </w:r>
      <w:r w:rsidRPr="006051FC">
        <w:rPr>
          <w:i/>
          <w:iCs/>
          <w:lang w:val="en-US"/>
        </w:rPr>
        <w:t>BMJ Open</w:t>
      </w:r>
      <w:r w:rsidRPr="006051FC">
        <w:rPr>
          <w:lang w:val="en-US"/>
        </w:rPr>
        <w:t xml:space="preserve">, 2(e001135). </w:t>
      </w:r>
    </w:p>
    <w:p w14:paraId="26480AD3" w14:textId="24E7D290" w:rsidR="001F1588" w:rsidRPr="006051FC" w:rsidRDefault="001F1588" w:rsidP="00901DF3">
      <w:pPr>
        <w:spacing w:after="120" w:line="480" w:lineRule="auto"/>
        <w:ind w:left="737" w:hanging="737"/>
        <w:rPr>
          <w:lang w:val="en-US"/>
        </w:rPr>
      </w:pPr>
      <w:r w:rsidRPr="006051FC">
        <w:rPr>
          <w:lang w:val="en-US"/>
        </w:rPr>
        <w:t xml:space="preserve">Hopkinson P, Wardman M. </w:t>
      </w:r>
      <w:r w:rsidR="00AE4113" w:rsidRPr="006051FC">
        <w:rPr>
          <w:lang w:val="en-US"/>
        </w:rPr>
        <w:t>(</w:t>
      </w:r>
      <w:r w:rsidRPr="006051FC">
        <w:rPr>
          <w:lang w:val="en-US"/>
        </w:rPr>
        <w:t>1996</w:t>
      </w:r>
      <w:r w:rsidR="00AE4113" w:rsidRPr="006051FC">
        <w:rPr>
          <w:lang w:val="en-US"/>
        </w:rPr>
        <w:t>)</w:t>
      </w:r>
      <w:r w:rsidRPr="006051FC">
        <w:rPr>
          <w:lang w:val="en-US"/>
        </w:rPr>
        <w:t>. Evaluating the demand for new cycle facilities. Transport Policy</w:t>
      </w:r>
      <w:r w:rsidR="00AE4113" w:rsidRPr="006051FC">
        <w:rPr>
          <w:lang w:val="en-US"/>
        </w:rPr>
        <w:t>,</w:t>
      </w:r>
      <w:r w:rsidRPr="006051FC">
        <w:rPr>
          <w:lang w:val="en-US"/>
        </w:rPr>
        <w:t xml:space="preserve"> 3(4):</w:t>
      </w:r>
      <w:r w:rsidR="00AE4113" w:rsidRPr="006051FC">
        <w:rPr>
          <w:lang w:val="en-US"/>
        </w:rPr>
        <w:t xml:space="preserve"> </w:t>
      </w:r>
      <w:r w:rsidRPr="006051FC">
        <w:rPr>
          <w:lang w:val="en-US"/>
        </w:rPr>
        <w:t>241–249.</w:t>
      </w:r>
    </w:p>
    <w:p w14:paraId="34D411CD" w14:textId="057A72A2" w:rsidR="001F1588" w:rsidRPr="006051FC" w:rsidRDefault="001F1588" w:rsidP="00901DF3">
      <w:pPr>
        <w:spacing w:after="120" w:line="480" w:lineRule="auto"/>
        <w:ind w:left="737" w:hanging="737"/>
        <w:rPr>
          <w:lang w:val="en-US"/>
        </w:rPr>
      </w:pPr>
      <w:r w:rsidRPr="006051FC">
        <w:rPr>
          <w:lang w:val="en-US"/>
        </w:rPr>
        <w:t xml:space="preserve">Hutton, B. </w:t>
      </w:r>
      <w:r w:rsidR="00AE4113" w:rsidRPr="006051FC">
        <w:rPr>
          <w:lang w:val="en-US"/>
        </w:rPr>
        <w:t>(</w:t>
      </w:r>
      <w:r w:rsidRPr="006051FC">
        <w:rPr>
          <w:lang w:val="en-US"/>
        </w:rPr>
        <w:t>2013</w:t>
      </w:r>
      <w:r w:rsidR="00AE4113" w:rsidRPr="006051FC">
        <w:rPr>
          <w:lang w:val="en-US"/>
        </w:rPr>
        <w:t>)</w:t>
      </w:r>
      <w:r w:rsidRPr="006051FC">
        <w:rPr>
          <w:lang w:val="en-US"/>
        </w:rPr>
        <w:t xml:space="preserve">. Planning Sustainable Transport. </w:t>
      </w:r>
      <w:r w:rsidR="00AE4113" w:rsidRPr="006051FC">
        <w:rPr>
          <w:lang w:val="en-US"/>
        </w:rPr>
        <w:t>Routledge: London</w:t>
      </w:r>
      <w:r w:rsidRPr="006051FC">
        <w:rPr>
          <w:lang w:val="en-US"/>
        </w:rPr>
        <w:t>.</w:t>
      </w:r>
    </w:p>
    <w:p w14:paraId="46BBB472" w14:textId="77777777" w:rsidR="001F1588" w:rsidRPr="006051FC" w:rsidRDefault="001F1588" w:rsidP="00901DF3">
      <w:pPr>
        <w:spacing w:after="120" w:line="480" w:lineRule="auto"/>
        <w:ind w:left="737" w:hanging="737"/>
        <w:rPr>
          <w:lang w:val="en-US"/>
        </w:rPr>
      </w:pPr>
      <w:r w:rsidRPr="006051FC">
        <w:rPr>
          <w:lang w:val="en-US"/>
        </w:rPr>
        <w:t xml:space="preserve">IEA (2013). Global land transport infrastructure requirements. Available: </w:t>
      </w:r>
      <w:hyperlink r:id="rId30" w:history="1">
        <w:r w:rsidRPr="006051FC">
          <w:rPr>
            <w:rStyle w:val="Hyperlink"/>
            <w:lang w:val="en-US"/>
          </w:rPr>
          <w:t>https://www.iea.org/publications/freepublications/publication/TransportInfrastructureInsights_FINAL_WEB.pdf</w:t>
        </w:r>
      </w:hyperlink>
      <w:r w:rsidRPr="006051FC">
        <w:rPr>
          <w:lang w:val="en-US"/>
        </w:rPr>
        <w:t xml:space="preserve"> Accessed 3 January 2018.</w:t>
      </w:r>
    </w:p>
    <w:p w14:paraId="2A06647D" w14:textId="49C61FA2" w:rsidR="001F1588" w:rsidRDefault="001F1588" w:rsidP="00901DF3">
      <w:pPr>
        <w:spacing w:after="120" w:line="480" w:lineRule="auto"/>
        <w:ind w:left="737" w:hanging="737"/>
        <w:rPr>
          <w:lang w:val="en-US"/>
        </w:rPr>
      </w:pPr>
      <w:r w:rsidRPr="006051FC">
        <w:rPr>
          <w:lang w:val="en-US"/>
        </w:rPr>
        <w:t xml:space="preserve">IEA </w:t>
      </w:r>
      <w:r w:rsidR="00AE4113" w:rsidRPr="006051FC">
        <w:rPr>
          <w:lang w:val="en-US"/>
        </w:rPr>
        <w:t>(2017)</w:t>
      </w:r>
      <w:r w:rsidRPr="006051FC">
        <w:rPr>
          <w:lang w:val="en-US"/>
        </w:rPr>
        <w:t>. International Energy Outlook 2017, Transportation. Available: </w:t>
      </w:r>
      <w:hyperlink r:id="rId31" w:history="1">
        <w:r w:rsidRPr="006051FC">
          <w:rPr>
            <w:rStyle w:val="Hyperlink"/>
            <w:lang w:val="en-US"/>
          </w:rPr>
          <w:t>https://www.e</w:t>
        </w:r>
        <w:r w:rsidRPr="006051FC">
          <w:rPr>
            <w:rStyle w:val="Hyperlink"/>
            <w:lang w:val="en-US"/>
          </w:rPr>
          <w:t>i</w:t>
        </w:r>
        <w:r w:rsidRPr="006051FC">
          <w:rPr>
            <w:rStyle w:val="Hyperlink"/>
            <w:lang w:val="en-US"/>
          </w:rPr>
          <w:t>a.gov/o</w:t>
        </w:r>
        <w:r w:rsidRPr="006051FC">
          <w:rPr>
            <w:rStyle w:val="Hyperlink"/>
            <w:lang w:val="en-US"/>
          </w:rPr>
          <w:t>u</w:t>
        </w:r>
        <w:r w:rsidRPr="006051FC">
          <w:rPr>
            <w:rStyle w:val="Hyperlink"/>
            <w:lang w:val="en-US"/>
          </w:rPr>
          <w:t>tlooks/ieo/pdf/transportation.pdf</w:t>
        </w:r>
      </w:hyperlink>
      <w:r w:rsidRPr="006051FC">
        <w:rPr>
          <w:lang w:val="en-US"/>
        </w:rPr>
        <w:t> Accessed 10 February 2017.</w:t>
      </w:r>
    </w:p>
    <w:p w14:paraId="50B86198" w14:textId="64025ADE" w:rsidR="00DF2D59" w:rsidRPr="006051FC" w:rsidRDefault="00DF2D59" w:rsidP="00DF2D59">
      <w:pPr>
        <w:spacing w:after="120" w:line="480" w:lineRule="auto"/>
        <w:ind w:left="737" w:hanging="737"/>
        <w:rPr>
          <w:lang w:val="en-US"/>
        </w:rPr>
      </w:pPr>
      <w:r w:rsidRPr="00DF2D59">
        <w:rPr>
          <w:lang w:val="en-US"/>
        </w:rPr>
        <w:t xml:space="preserve">IPCC (2014). </w:t>
      </w:r>
      <w:r w:rsidRPr="00DF2D59">
        <w:rPr>
          <w:i/>
          <w:iCs/>
          <w:lang w:val="en-US"/>
        </w:rPr>
        <w:t xml:space="preserve">Climate Change 2014: Mitigation of Climate Change. </w:t>
      </w:r>
      <w:r w:rsidRPr="00DF2D59">
        <w:rPr>
          <w:lang w:val="en-US"/>
        </w:rPr>
        <w:t xml:space="preserve">Cambridge University Press, Cambridge, United Kingdom and New York, NY, USA. </w:t>
      </w:r>
    </w:p>
    <w:p w14:paraId="6F427F33" w14:textId="77777777" w:rsidR="00CD5666" w:rsidRPr="00CD5666" w:rsidRDefault="00CD5666" w:rsidP="00901DF3">
      <w:pPr>
        <w:spacing w:after="120" w:line="480" w:lineRule="auto"/>
        <w:ind w:left="737" w:hanging="737"/>
        <w:rPr>
          <w:lang w:val="en-US"/>
        </w:rPr>
      </w:pPr>
      <w:r w:rsidRPr="00CD5666">
        <w:rPr>
          <w:lang w:val="en-US"/>
        </w:rPr>
        <w:t xml:space="preserve">Jacobs, G., Aeron-Thomas, A., &amp; Astrop, A. (2000). </w:t>
      </w:r>
      <w:r w:rsidRPr="00CD5666">
        <w:rPr>
          <w:i/>
          <w:lang w:val="en-US"/>
        </w:rPr>
        <w:t>Estimating global road fatalities.</w:t>
      </w:r>
      <w:r w:rsidRPr="00CD5666">
        <w:rPr>
          <w:lang w:val="en-US"/>
        </w:rPr>
        <w:t xml:space="preserve"> Crowthorne: Transport Research Laboratory.</w:t>
      </w:r>
    </w:p>
    <w:p w14:paraId="76050AC2" w14:textId="282D2C68" w:rsidR="001F1588" w:rsidRPr="006051FC" w:rsidRDefault="001F1588" w:rsidP="00901DF3">
      <w:pPr>
        <w:spacing w:after="120" w:line="480" w:lineRule="auto"/>
        <w:ind w:left="737" w:hanging="737"/>
        <w:rPr>
          <w:lang w:val="en-US"/>
        </w:rPr>
      </w:pPr>
      <w:r w:rsidRPr="006051FC">
        <w:rPr>
          <w:lang w:val="en-US"/>
        </w:rPr>
        <w:t xml:space="preserve">Jansson, J.W. </w:t>
      </w:r>
      <w:r w:rsidR="00AE4113" w:rsidRPr="006051FC">
        <w:rPr>
          <w:lang w:val="en-US"/>
        </w:rPr>
        <w:t>(</w:t>
      </w:r>
      <w:r w:rsidRPr="006051FC">
        <w:rPr>
          <w:lang w:val="en-US"/>
        </w:rPr>
        <w:t>1994</w:t>
      </w:r>
      <w:r w:rsidR="00AE4113" w:rsidRPr="006051FC">
        <w:rPr>
          <w:lang w:val="en-US"/>
        </w:rPr>
        <w:t>)</w:t>
      </w:r>
      <w:r w:rsidRPr="006051FC">
        <w:rPr>
          <w:lang w:val="en-US"/>
        </w:rPr>
        <w:t xml:space="preserve">. Accident Externality Charges. </w:t>
      </w:r>
      <w:r w:rsidRPr="006051FC">
        <w:rPr>
          <w:i/>
          <w:lang w:val="en-US"/>
        </w:rPr>
        <w:t>Journal of Transport Economics and Policy</w:t>
      </w:r>
      <w:r w:rsidR="00AE4113" w:rsidRPr="006051FC">
        <w:rPr>
          <w:i/>
          <w:lang w:val="en-US"/>
        </w:rPr>
        <w:t>,</w:t>
      </w:r>
      <w:r w:rsidRPr="006051FC">
        <w:rPr>
          <w:lang w:val="en-US"/>
        </w:rPr>
        <w:t xml:space="preserve"> 28: 31-43.</w:t>
      </w:r>
    </w:p>
    <w:p w14:paraId="3A7AB282" w14:textId="0327C7EB" w:rsidR="001F1588" w:rsidRPr="006051FC" w:rsidRDefault="001F1588" w:rsidP="00901DF3">
      <w:pPr>
        <w:spacing w:after="120" w:line="480" w:lineRule="auto"/>
        <w:ind w:left="737" w:hanging="737"/>
        <w:rPr>
          <w:lang w:val="en-US"/>
        </w:rPr>
      </w:pPr>
      <w:r w:rsidRPr="00FD795E">
        <w:rPr>
          <w:lang w:val="sv-SE"/>
        </w:rPr>
        <w:lastRenderedPageBreak/>
        <w:t xml:space="preserve">Jia, H., &amp; Lubetkin, E. I. (2005). </w:t>
      </w:r>
      <w:r w:rsidRPr="006051FC">
        <w:rPr>
          <w:lang w:val="en-US"/>
        </w:rPr>
        <w:t>The impact of obesity on health-related quality-of-life in the general adult US population. </w:t>
      </w:r>
      <w:r w:rsidR="00AE4113" w:rsidRPr="006051FC">
        <w:rPr>
          <w:i/>
          <w:iCs/>
          <w:lang w:val="en-US"/>
        </w:rPr>
        <w:t>Journal of P</w:t>
      </w:r>
      <w:r w:rsidRPr="006051FC">
        <w:rPr>
          <w:i/>
          <w:iCs/>
          <w:lang w:val="en-US"/>
        </w:rPr>
        <w:t xml:space="preserve">ublic </w:t>
      </w:r>
      <w:r w:rsidR="00AE4113" w:rsidRPr="006051FC">
        <w:rPr>
          <w:i/>
          <w:iCs/>
          <w:lang w:val="en-US"/>
        </w:rPr>
        <w:t>H</w:t>
      </w:r>
      <w:r w:rsidRPr="006051FC">
        <w:rPr>
          <w:i/>
          <w:iCs/>
          <w:lang w:val="en-US"/>
        </w:rPr>
        <w:t>ealth</w:t>
      </w:r>
      <w:r w:rsidRPr="006051FC">
        <w:rPr>
          <w:lang w:val="en-US"/>
        </w:rPr>
        <w:t>, </w:t>
      </w:r>
      <w:r w:rsidRPr="006051FC">
        <w:rPr>
          <w:i/>
          <w:iCs/>
          <w:lang w:val="en-US"/>
        </w:rPr>
        <w:t>27</w:t>
      </w:r>
      <w:r w:rsidRPr="006051FC">
        <w:rPr>
          <w:lang w:val="en-US"/>
        </w:rPr>
        <w:t>(2), 156-164.</w:t>
      </w:r>
    </w:p>
    <w:p w14:paraId="26A56CA3" w14:textId="18664D43" w:rsidR="00CD5666" w:rsidRPr="00CD5666" w:rsidRDefault="00CD5666" w:rsidP="00901DF3">
      <w:pPr>
        <w:spacing w:after="120" w:line="480" w:lineRule="auto"/>
        <w:ind w:left="737" w:hanging="737"/>
        <w:rPr>
          <w:lang w:val="en-US"/>
        </w:rPr>
      </w:pPr>
      <w:r w:rsidRPr="005C31EB">
        <w:rPr>
          <w:lang w:val="en-US"/>
        </w:rPr>
        <w:t xml:space="preserve">Klæboe, R., Kolbenstvedt, M., Clench-Aas, J., &amp; Bartonova, A. (2000). </w:t>
      </w:r>
      <w:r w:rsidRPr="00CD5666">
        <w:rPr>
          <w:lang w:val="en-US"/>
        </w:rPr>
        <w:t xml:space="preserve">Oslo traffic study–part 1: an integrated approach to assess the combined effects of noise and air pollution on annoyance. </w:t>
      </w:r>
      <w:r w:rsidRPr="00CD5666">
        <w:rPr>
          <w:i/>
          <w:lang w:val="en-US"/>
        </w:rPr>
        <w:t>Atmospheric Environment, 34</w:t>
      </w:r>
      <w:r w:rsidRPr="00CD5666">
        <w:rPr>
          <w:lang w:val="en-US"/>
        </w:rPr>
        <w:t>(27)</w:t>
      </w:r>
      <w:r w:rsidR="00AE4113">
        <w:rPr>
          <w:lang w:val="en-US"/>
        </w:rPr>
        <w:t>:</w:t>
      </w:r>
      <w:r w:rsidRPr="00CD5666">
        <w:rPr>
          <w:lang w:val="en-US"/>
        </w:rPr>
        <w:t xml:space="preserve"> 4727-4736.</w:t>
      </w:r>
    </w:p>
    <w:p w14:paraId="680C70E6" w14:textId="45452113" w:rsidR="001F1588" w:rsidRPr="005C31EB" w:rsidRDefault="00AE4113" w:rsidP="00901DF3">
      <w:pPr>
        <w:spacing w:after="120" w:line="480" w:lineRule="auto"/>
        <w:ind w:left="737" w:hanging="737"/>
        <w:rPr>
          <w:lang w:val="en-US"/>
        </w:rPr>
      </w:pPr>
      <w:r w:rsidRPr="006051FC">
        <w:rPr>
          <w:lang w:val="en-US"/>
        </w:rPr>
        <w:t>Knudsen, M.A. and</w:t>
      </w:r>
      <w:r w:rsidR="001F1588" w:rsidRPr="006051FC">
        <w:rPr>
          <w:lang w:val="en-US"/>
        </w:rPr>
        <w:t xml:space="preserve"> Rich, J. </w:t>
      </w:r>
      <w:r w:rsidRPr="006051FC">
        <w:rPr>
          <w:lang w:val="en-US"/>
        </w:rPr>
        <w:t>(</w:t>
      </w:r>
      <w:r w:rsidR="001F1588" w:rsidRPr="006051FC">
        <w:rPr>
          <w:lang w:val="en-US"/>
        </w:rPr>
        <w:t>2013</w:t>
      </w:r>
      <w:r w:rsidRPr="006051FC">
        <w:rPr>
          <w:lang w:val="en-US"/>
        </w:rPr>
        <w:t>)</w:t>
      </w:r>
      <w:r w:rsidR="001F1588" w:rsidRPr="006051FC">
        <w:rPr>
          <w:lang w:val="en-US"/>
        </w:rPr>
        <w:t xml:space="preserve">. Ex post socio-economic assessment of the Oresund Bridge. </w:t>
      </w:r>
      <w:r w:rsidR="001F1588" w:rsidRPr="005C31EB">
        <w:rPr>
          <w:lang w:val="en-US"/>
        </w:rPr>
        <w:t>Transport Policy 27: 53-65.</w:t>
      </w:r>
    </w:p>
    <w:p w14:paraId="40540D75" w14:textId="77777777" w:rsidR="001F1588" w:rsidRPr="006051FC" w:rsidRDefault="001F1588" w:rsidP="00901DF3">
      <w:pPr>
        <w:spacing w:after="120" w:line="480" w:lineRule="auto"/>
        <w:ind w:left="737" w:hanging="737"/>
        <w:rPr>
          <w:bCs/>
          <w:lang w:val="en-US"/>
        </w:rPr>
      </w:pPr>
      <w:r w:rsidRPr="005C31EB">
        <w:rPr>
          <w:bCs/>
          <w:lang w:val="en-US"/>
        </w:rPr>
        <w:t xml:space="preserve">Korzhenevych, A., Dehnen, N., Bröcker, J., Holtkamp, M., Meier, H., Gibson, G., Varma, A. and Cox, V. (2014). </w:t>
      </w:r>
      <w:r w:rsidRPr="006051FC">
        <w:rPr>
          <w:bCs/>
          <w:lang w:val="en-US"/>
        </w:rPr>
        <w:t xml:space="preserve">Update of the Handbook on External Costs of Transport. Available: </w:t>
      </w:r>
      <w:hyperlink r:id="rId32" w:history="1">
        <w:r w:rsidRPr="006051FC">
          <w:rPr>
            <w:rStyle w:val="Hyperlink"/>
            <w:bCs/>
            <w:lang w:val="en-US"/>
          </w:rPr>
          <w:t>https://ec.euro</w:t>
        </w:r>
        <w:r w:rsidRPr="006051FC">
          <w:rPr>
            <w:rStyle w:val="Hyperlink"/>
            <w:bCs/>
            <w:lang w:val="en-US"/>
          </w:rPr>
          <w:t>p</w:t>
        </w:r>
        <w:r w:rsidRPr="006051FC">
          <w:rPr>
            <w:rStyle w:val="Hyperlink"/>
            <w:bCs/>
            <w:lang w:val="en-US"/>
          </w:rPr>
          <w:t>a.eu/trans</w:t>
        </w:r>
        <w:r w:rsidRPr="006051FC">
          <w:rPr>
            <w:rStyle w:val="Hyperlink"/>
            <w:bCs/>
            <w:lang w:val="en-US"/>
          </w:rPr>
          <w:t>p</w:t>
        </w:r>
        <w:r w:rsidRPr="006051FC">
          <w:rPr>
            <w:rStyle w:val="Hyperlink"/>
            <w:bCs/>
            <w:lang w:val="en-US"/>
          </w:rPr>
          <w:t>ort/sites/transport/files/handbook_on_external_costs_of_transport_2014_0.pdf</w:t>
        </w:r>
      </w:hyperlink>
      <w:r w:rsidRPr="006051FC">
        <w:rPr>
          <w:bCs/>
          <w:lang w:val="en-US"/>
        </w:rPr>
        <w:t xml:space="preserve"> Accessed 29 November 2017.</w:t>
      </w:r>
    </w:p>
    <w:p w14:paraId="73951C8A" w14:textId="0009731C" w:rsidR="001F1588" w:rsidRPr="006051FC" w:rsidRDefault="001F1588" w:rsidP="00901DF3">
      <w:pPr>
        <w:spacing w:after="120" w:line="480" w:lineRule="auto"/>
        <w:ind w:left="737" w:hanging="737"/>
        <w:rPr>
          <w:lang w:val="en-US"/>
        </w:rPr>
      </w:pPr>
      <w:r w:rsidRPr="006051FC">
        <w:rPr>
          <w:lang w:val="en-US"/>
        </w:rPr>
        <w:t>Krizek</w:t>
      </w:r>
      <w:r w:rsidR="00AE4113" w:rsidRPr="006051FC">
        <w:rPr>
          <w:lang w:val="en-US"/>
        </w:rPr>
        <w:t>,</w:t>
      </w:r>
      <w:r w:rsidRPr="006051FC">
        <w:rPr>
          <w:lang w:val="en-US"/>
        </w:rPr>
        <w:t xml:space="preserve"> K. </w:t>
      </w:r>
      <w:r w:rsidR="00AE4113" w:rsidRPr="006051FC">
        <w:rPr>
          <w:lang w:val="en-US"/>
        </w:rPr>
        <w:t>(</w:t>
      </w:r>
      <w:r w:rsidRPr="006051FC">
        <w:rPr>
          <w:lang w:val="en-US"/>
        </w:rPr>
        <w:t>2007</w:t>
      </w:r>
      <w:r w:rsidR="00AE4113" w:rsidRPr="006051FC">
        <w:rPr>
          <w:lang w:val="en-US"/>
        </w:rPr>
        <w:t>)</w:t>
      </w:r>
      <w:r w:rsidRPr="006051FC">
        <w:rPr>
          <w:lang w:val="en-US"/>
        </w:rPr>
        <w:t>. Estimating the economic benefits of bicycling and bicycle facilities: An interpretive review and proposed methods. Essays on Transportation Economics. Leipzip, Germany: Physica-Verlag HD.</w:t>
      </w:r>
    </w:p>
    <w:p w14:paraId="2E0CC694" w14:textId="46EC80C0" w:rsidR="00CD5666" w:rsidRDefault="00CD5666" w:rsidP="00901DF3">
      <w:pPr>
        <w:spacing w:after="120" w:line="480" w:lineRule="auto"/>
        <w:ind w:left="737" w:hanging="737"/>
        <w:rPr>
          <w:rFonts w:ascii="MS Mincho" w:eastAsia="MS Mincho" w:hAnsi="MS Mincho" w:cs="MS Mincho"/>
          <w:lang w:val="en-US"/>
        </w:rPr>
      </w:pPr>
      <w:r w:rsidRPr="006051FC">
        <w:rPr>
          <w:lang w:val="en-US"/>
        </w:rPr>
        <w:t xml:space="preserve">Künzli, N., Kaiser, R., Medina, S., Studnicka, M., Chanel, O., Filliger, P., Herry, M., Horak Jr., F., Puybonnieux-Texier, V., Quénel, P., Schneider, J., Seethaler, R., Vergnaud, J. C., Sommer, H. (2000). Public-health impact of outdoor and traffic-related air pollution: a European assessment. </w:t>
      </w:r>
      <w:r w:rsidRPr="006051FC">
        <w:rPr>
          <w:i/>
          <w:lang w:val="en-US"/>
        </w:rPr>
        <w:t>The Lancet, 356</w:t>
      </w:r>
      <w:r w:rsidRPr="006051FC">
        <w:rPr>
          <w:lang w:val="en-US"/>
        </w:rPr>
        <w:t xml:space="preserve"> (9232), 795–801.</w:t>
      </w:r>
      <w:r w:rsidRPr="006051FC">
        <w:rPr>
          <w:rFonts w:ascii="MS Mincho" w:eastAsia="MS Mincho" w:hAnsi="MS Mincho" w:cs="MS Mincho"/>
          <w:lang w:val="en-US"/>
        </w:rPr>
        <w:t> </w:t>
      </w:r>
    </w:p>
    <w:p w14:paraId="18AA533B" w14:textId="7D36060B" w:rsidR="001F1588" w:rsidRPr="006051FC" w:rsidRDefault="001F1588" w:rsidP="00901DF3">
      <w:pPr>
        <w:spacing w:after="120" w:line="480" w:lineRule="auto"/>
        <w:ind w:left="737" w:hanging="737"/>
        <w:rPr>
          <w:lang w:val="en-US"/>
        </w:rPr>
      </w:pPr>
      <w:r w:rsidRPr="006051FC">
        <w:rPr>
          <w:lang w:val="en-US"/>
        </w:rPr>
        <w:t>Larsen, J., Zachary P</w:t>
      </w:r>
      <w:r w:rsidR="00AE4113" w:rsidRPr="006051FC">
        <w:rPr>
          <w:lang w:val="en-US"/>
        </w:rPr>
        <w:t>atterson &amp; Ahmed El-Geneidy (</w:t>
      </w:r>
      <w:r w:rsidRPr="006051FC">
        <w:rPr>
          <w:lang w:val="en-US"/>
        </w:rPr>
        <w:t>2013</w:t>
      </w:r>
      <w:r w:rsidR="00AE4113" w:rsidRPr="006051FC">
        <w:rPr>
          <w:lang w:val="en-US"/>
        </w:rPr>
        <w:t>)</w:t>
      </w:r>
      <w:r w:rsidRPr="006051FC">
        <w:rPr>
          <w:lang w:val="en-US"/>
        </w:rPr>
        <w:t xml:space="preserve">. Build It. But Where? The Use of Geographic Information Systems in Identifying Locations for New Cycling Infrastructure, </w:t>
      </w:r>
      <w:r w:rsidRPr="006051FC">
        <w:rPr>
          <w:i/>
          <w:lang w:val="en-US"/>
        </w:rPr>
        <w:t>International Journal of Sustainable Transportation</w:t>
      </w:r>
      <w:r w:rsidRPr="006051FC">
        <w:rPr>
          <w:lang w:val="en-US"/>
        </w:rPr>
        <w:t>, 7:4, 299-317</w:t>
      </w:r>
    </w:p>
    <w:p w14:paraId="5947B475" w14:textId="77777777" w:rsidR="001F1588" w:rsidRPr="006051FC" w:rsidRDefault="001F1588" w:rsidP="00901DF3">
      <w:pPr>
        <w:spacing w:after="120" w:line="480" w:lineRule="auto"/>
        <w:ind w:left="737" w:hanging="737"/>
        <w:rPr>
          <w:lang w:val="en-US"/>
        </w:rPr>
      </w:pPr>
      <w:r w:rsidRPr="0010359C">
        <w:t xml:space="preserve">Lee, R. J., &amp; Sener, I. N. (2016). </w:t>
      </w:r>
      <w:r w:rsidRPr="006051FC">
        <w:rPr>
          <w:lang w:val="en-US"/>
        </w:rPr>
        <w:t>Transportation planning and quality of life: Where do they intersect?. </w:t>
      </w:r>
      <w:r w:rsidRPr="006051FC">
        <w:rPr>
          <w:i/>
          <w:iCs/>
          <w:lang w:val="en-US"/>
        </w:rPr>
        <w:t>Transport Policy</w:t>
      </w:r>
      <w:r w:rsidRPr="006051FC">
        <w:rPr>
          <w:lang w:val="en-US"/>
        </w:rPr>
        <w:t>, </w:t>
      </w:r>
      <w:r w:rsidRPr="006051FC">
        <w:rPr>
          <w:i/>
          <w:iCs/>
          <w:lang w:val="en-US"/>
        </w:rPr>
        <w:t>48</w:t>
      </w:r>
      <w:r w:rsidRPr="006051FC">
        <w:rPr>
          <w:lang w:val="en-US"/>
        </w:rPr>
        <w:t>, 146-155.</w:t>
      </w:r>
    </w:p>
    <w:p w14:paraId="4CA95219" w14:textId="65D74C8D" w:rsidR="001F1588" w:rsidRPr="006051FC" w:rsidRDefault="001F1588" w:rsidP="00901DF3">
      <w:pPr>
        <w:spacing w:after="120" w:line="480" w:lineRule="auto"/>
        <w:ind w:left="737" w:hanging="737"/>
        <w:rPr>
          <w:lang w:val="en-US"/>
        </w:rPr>
      </w:pPr>
      <w:r w:rsidRPr="006051FC">
        <w:rPr>
          <w:lang w:val="en-US"/>
        </w:rPr>
        <w:lastRenderedPageBreak/>
        <w:t xml:space="preserve">Litman, T. </w:t>
      </w:r>
      <w:r w:rsidR="00AE4113" w:rsidRPr="006051FC">
        <w:rPr>
          <w:lang w:val="en-US"/>
        </w:rPr>
        <w:t>(</w:t>
      </w:r>
      <w:r w:rsidRPr="006051FC">
        <w:rPr>
          <w:lang w:val="en-US"/>
        </w:rPr>
        <w:t>2004</w:t>
      </w:r>
      <w:r w:rsidR="00AE4113" w:rsidRPr="006051FC">
        <w:rPr>
          <w:lang w:val="en-US"/>
        </w:rPr>
        <w:t>)</w:t>
      </w:r>
      <w:r w:rsidRPr="006051FC">
        <w:rPr>
          <w:lang w:val="en-US"/>
        </w:rPr>
        <w:t xml:space="preserve">. Economic Value of Walkability. </w:t>
      </w:r>
      <w:r w:rsidRPr="006051FC">
        <w:rPr>
          <w:i/>
          <w:lang w:val="en-US"/>
        </w:rPr>
        <w:t>World Transport Policy &amp; Practice</w:t>
      </w:r>
      <w:r w:rsidRPr="006051FC">
        <w:rPr>
          <w:lang w:val="en-US"/>
        </w:rPr>
        <w:t xml:space="preserve"> </w:t>
      </w:r>
      <w:r w:rsidRPr="006051FC">
        <w:rPr>
          <w:bCs/>
          <w:lang w:val="en-US"/>
        </w:rPr>
        <w:t>10</w:t>
      </w:r>
      <w:r w:rsidRPr="006051FC">
        <w:rPr>
          <w:lang w:val="en-US"/>
        </w:rPr>
        <w:t>:1, 5-14.</w:t>
      </w:r>
    </w:p>
    <w:p w14:paraId="16BF640C" w14:textId="4539A8EB" w:rsidR="001F1588" w:rsidRPr="006051FC" w:rsidRDefault="00AE4113" w:rsidP="00901DF3">
      <w:pPr>
        <w:widowControl w:val="0"/>
        <w:autoSpaceDE w:val="0"/>
        <w:autoSpaceDN w:val="0"/>
        <w:adjustRightInd w:val="0"/>
        <w:spacing w:after="120" w:line="480" w:lineRule="auto"/>
        <w:ind w:left="737" w:hanging="737"/>
        <w:rPr>
          <w:color w:val="000000"/>
          <w:lang w:val="en-US"/>
        </w:rPr>
      </w:pPr>
      <w:r w:rsidRPr="006051FC">
        <w:rPr>
          <w:color w:val="000000"/>
          <w:lang w:val="en-US"/>
        </w:rPr>
        <w:t>Litman, T.A. and Doherty, E.</w:t>
      </w:r>
      <w:r w:rsidR="001F1588" w:rsidRPr="006051FC">
        <w:rPr>
          <w:color w:val="000000"/>
          <w:lang w:val="en-US"/>
        </w:rPr>
        <w:t xml:space="preserve"> </w:t>
      </w:r>
      <w:r w:rsidRPr="006051FC">
        <w:rPr>
          <w:color w:val="000000"/>
          <w:lang w:val="en-US"/>
        </w:rPr>
        <w:t>(</w:t>
      </w:r>
      <w:r w:rsidR="001F1588" w:rsidRPr="006051FC">
        <w:rPr>
          <w:color w:val="000000"/>
          <w:lang w:val="en-US"/>
        </w:rPr>
        <w:t>2011</w:t>
      </w:r>
      <w:r w:rsidRPr="006051FC">
        <w:rPr>
          <w:color w:val="000000"/>
          <w:lang w:val="en-US"/>
        </w:rPr>
        <w:t>)</w:t>
      </w:r>
      <w:r w:rsidR="001F1588" w:rsidRPr="006051FC">
        <w:rPr>
          <w:color w:val="000000"/>
          <w:lang w:val="en-US"/>
        </w:rPr>
        <w:t xml:space="preserve">. </w:t>
      </w:r>
      <w:r w:rsidR="001F1588" w:rsidRPr="006051FC">
        <w:rPr>
          <w:i/>
          <w:iCs/>
          <w:color w:val="000000"/>
          <w:lang w:val="en-US"/>
        </w:rPr>
        <w:t>Transportation Cost and Benefit Analysis - Techniques, Estimates and Implications</w:t>
      </w:r>
      <w:r w:rsidR="001F1588" w:rsidRPr="006051FC">
        <w:rPr>
          <w:color w:val="000000"/>
          <w:lang w:val="en-US"/>
        </w:rPr>
        <w:t xml:space="preserve">. Victoria: VTPI Victoria Transport Policy Institute. http://www.vtpi.org/tca/. </w:t>
      </w:r>
    </w:p>
    <w:p w14:paraId="476DE777" w14:textId="77777777" w:rsidR="001F1588" w:rsidRPr="006051FC" w:rsidRDefault="001F1588" w:rsidP="00901DF3">
      <w:pPr>
        <w:spacing w:after="120" w:line="480" w:lineRule="auto"/>
        <w:ind w:left="737" w:hanging="737"/>
        <w:rPr>
          <w:color w:val="222222"/>
          <w:shd w:val="clear" w:color="auto" w:fill="FFFFFF"/>
          <w:lang w:val="en-US"/>
        </w:rPr>
      </w:pPr>
      <w:r w:rsidRPr="006051FC">
        <w:rPr>
          <w:color w:val="222222"/>
          <w:shd w:val="clear" w:color="auto" w:fill="FFFFFF"/>
          <w:lang w:val="en-US"/>
        </w:rPr>
        <w:t>Łowicki, D., &amp; Piotrowska, S. (2015). Monetary valuation of road noise. Residential property prices as an indicator of the acoustic climate quality. </w:t>
      </w:r>
      <w:r w:rsidRPr="006051FC">
        <w:rPr>
          <w:i/>
          <w:iCs/>
          <w:color w:val="222222"/>
          <w:lang w:val="en-US"/>
        </w:rPr>
        <w:t>Ecological Indicators</w:t>
      </w:r>
      <w:r w:rsidRPr="006051FC">
        <w:rPr>
          <w:color w:val="222222"/>
          <w:shd w:val="clear" w:color="auto" w:fill="FFFFFF"/>
          <w:lang w:val="en-US"/>
        </w:rPr>
        <w:t>, </w:t>
      </w:r>
      <w:r w:rsidRPr="006051FC">
        <w:rPr>
          <w:i/>
          <w:iCs/>
          <w:color w:val="222222"/>
          <w:lang w:val="en-US"/>
        </w:rPr>
        <w:t>52</w:t>
      </w:r>
      <w:r w:rsidRPr="006051FC">
        <w:rPr>
          <w:color w:val="222222"/>
          <w:shd w:val="clear" w:color="auto" w:fill="FFFFFF"/>
          <w:lang w:val="en-US"/>
        </w:rPr>
        <w:t>, 472-479.</w:t>
      </w:r>
    </w:p>
    <w:p w14:paraId="172F3D41" w14:textId="77777777" w:rsidR="001F1588" w:rsidRPr="006051FC" w:rsidRDefault="001F1588" w:rsidP="00901DF3">
      <w:pPr>
        <w:spacing w:after="120" w:line="480" w:lineRule="auto"/>
        <w:ind w:left="737" w:hanging="737"/>
        <w:rPr>
          <w:lang w:val="en-US"/>
        </w:rPr>
      </w:pPr>
      <w:r w:rsidRPr="006051FC">
        <w:rPr>
          <w:lang w:val="en-US"/>
        </w:rPr>
        <w:t>McKitrick, R. (2017). Global energy subsidies: An analytical taxonomy. </w:t>
      </w:r>
      <w:r w:rsidRPr="006051FC">
        <w:rPr>
          <w:i/>
          <w:iCs/>
          <w:lang w:val="en-US"/>
        </w:rPr>
        <w:t>Energy Policy</w:t>
      </w:r>
      <w:r w:rsidRPr="006051FC">
        <w:rPr>
          <w:lang w:val="en-US"/>
        </w:rPr>
        <w:t>, </w:t>
      </w:r>
      <w:r w:rsidRPr="006051FC">
        <w:rPr>
          <w:i/>
          <w:iCs/>
          <w:lang w:val="en-US"/>
        </w:rPr>
        <w:t>101</w:t>
      </w:r>
      <w:r w:rsidRPr="006051FC">
        <w:rPr>
          <w:lang w:val="en-US"/>
        </w:rPr>
        <w:t>, 379-385.</w:t>
      </w:r>
    </w:p>
    <w:p w14:paraId="0A4DA3E9" w14:textId="77777777" w:rsidR="001F1588" w:rsidRPr="006051FC" w:rsidRDefault="001F1588" w:rsidP="00901DF3">
      <w:pPr>
        <w:spacing w:after="120" w:line="480" w:lineRule="auto"/>
        <w:ind w:left="737" w:hanging="737"/>
        <w:rPr>
          <w:lang w:val="en-US"/>
        </w:rPr>
      </w:pPr>
      <w:r w:rsidRPr="006051FC">
        <w:rPr>
          <w:lang w:val="en-US"/>
        </w:rPr>
        <w:t xml:space="preserve">Meschik, M. 2012. Reshaping city traffic towards sustainability. Why transport policy should favor the bicycle instead of car traffic. </w:t>
      </w:r>
      <w:r w:rsidRPr="006051FC">
        <w:rPr>
          <w:i/>
          <w:iCs/>
          <w:lang w:val="en-US"/>
        </w:rPr>
        <w:t>Procedia-Social and Behavioral Sciences</w:t>
      </w:r>
      <w:r w:rsidRPr="006051FC">
        <w:rPr>
          <w:lang w:val="en-US"/>
        </w:rPr>
        <w:t xml:space="preserve">, </w:t>
      </w:r>
      <w:r w:rsidRPr="006051FC">
        <w:rPr>
          <w:i/>
          <w:iCs/>
          <w:lang w:val="en-US"/>
        </w:rPr>
        <w:t>48</w:t>
      </w:r>
      <w:r w:rsidRPr="006051FC">
        <w:rPr>
          <w:lang w:val="en-US"/>
        </w:rPr>
        <w:t>, 495-504.</w:t>
      </w:r>
    </w:p>
    <w:p w14:paraId="31C23A20" w14:textId="77777777" w:rsidR="00CD5666" w:rsidRPr="00CD5666" w:rsidRDefault="00CD5666" w:rsidP="00901DF3">
      <w:pPr>
        <w:spacing w:after="120" w:line="480" w:lineRule="auto"/>
        <w:ind w:left="737" w:hanging="737"/>
        <w:rPr>
          <w:lang w:val="en-US"/>
        </w:rPr>
      </w:pPr>
      <w:r w:rsidRPr="006051FC">
        <w:rPr>
          <w:lang w:val="en-US"/>
        </w:rPr>
        <w:t xml:space="preserve">Morelli, X., Foraster, M., Aguilera, I., Basagana, X., Corradi, E., Deltell, A., Ducret-Stich, R., Phuleria, H., Ragettli, M.S., Rivera, M., Thomasson, A., Künzli, N. &amp; Slama, R., (2015). </w:t>
      </w:r>
      <w:r w:rsidRPr="00CD5666">
        <w:rPr>
          <w:lang w:val="en-US"/>
        </w:rPr>
        <w:t xml:space="preserve">Short-term associations between traffic-related noise, particle number and traffic flow in three European cities. </w:t>
      </w:r>
      <w:r w:rsidRPr="00CD5666">
        <w:rPr>
          <w:i/>
          <w:lang w:val="en-US"/>
        </w:rPr>
        <w:t>Atmospheric Environment, 103,</w:t>
      </w:r>
      <w:r w:rsidRPr="00CD5666">
        <w:rPr>
          <w:lang w:val="en-US"/>
        </w:rPr>
        <w:t xml:space="preserve"> 25-33.</w:t>
      </w:r>
    </w:p>
    <w:p w14:paraId="1D5C91D1" w14:textId="4FB635C1" w:rsidR="001F1588" w:rsidRPr="006051FC" w:rsidRDefault="001F1588" w:rsidP="00901DF3">
      <w:pPr>
        <w:spacing w:after="120" w:line="480" w:lineRule="auto"/>
        <w:ind w:left="737" w:hanging="737"/>
        <w:rPr>
          <w:lang w:val="en-US"/>
        </w:rPr>
      </w:pPr>
      <w:r w:rsidRPr="006051FC">
        <w:rPr>
          <w:lang w:val="en-US"/>
        </w:rPr>
        <w:t xml:space="preserve">Nelson, A.C. </w:t>
      </w:r>
      <w:r w:rsidR="00AE4113" w:rsidRPr="006051FC">
        <w:rPr>
          <w:lang w:val="en-US"/>
        </w:rPr>
        <w:t>(</w:t>
      </w:r>
      <w:r w:rsidRPr="006051FC">
        <w:rPr>
          <w:lang w:val="en-US"/>
        </w:rPr>
        <w:t>1995</w:t>
      </w:r>
      <w:r w:rsidR="00AE4113" w:rsidRPr="006051FC">
        <w:rPr>
          <w:lang w:val="en-US"/>
        </w:rPr>
        <w:t>)</w:t>
      </w:r>
      <w:r w:rsidRPr="006051FC">
        <w:rPr>
          <w:lang w:val="en-US"/>
        </w:rPr>
        <w:t>. Private provision of public pedestrian and bicycle access ways : public policy rationale and the nature of public and private benefits. Transportation Research Record 1502: 96-104.</w:t>
      </w:r>
    </w:p>
    <w:p w14:paraId="0352BD32" w14:textId="37F70009" w:rsidR="001F1588" w:rsidRPr="006051FC" w:rsidRDefault="00AE4113" w:rsidP="00901DF3">
      <w:pPr>
        <w:spacing w:after="120" w:line="480" w:lineRule="auto"/>
        <w:ind w:left="737" w:hanging="737"/>
        <w:rPr>
          <w:lang w:val="en-US"/>
        </w:rPr>
      </w:pPr>
      <w:r w:rsidRPr="006051FC">
        <w:rPr>
          <w:lang w:val="en-US"/>
        </w:rPr>
        <w:t>NZ Transport Agency (</w:t>
      </w:r>
      <w:r w:rsidR="001F1588" w:rsidRPr="006051FC">
        <w:rPr>
          <w:lang w:val="en-US"/>
        </w:rPr>
        <w:t>2016</w:t>
      </w:r>
      <w:r w:rsidRPr="006051FC">
        <w:rPr>
          <w:lang w:val="en-US"/>
        </w:rPr>
        <w:t>)</w:t>
      </w:r>
      <w:r w:rsidR="001F1588" w:rsidRPr="006051FC">
        <w:rPr>
          <w:lang w:val="en-US"/>
        </w:rPr>
        <w:t xml:space="preserve">. </w:t>
      </w:r>
      <w:r w:rsidR="001F1588" w:rsidRPr="006051FC">
        <w:rPr>
          <w:i/>
          <w:iCs/>
          <w:lang w:val="en-US"/>
        </w:rPr>
        <w:t>Economic evaluation manual</w:t>
      </w:r>
      <w:r w:rsidR="001F1588" w:rsidRPr="006051FC">
        <w:rPr>
          <w:lang w:val="en-US"/>
        </w:rPr>
        <w:t xml:space="preserve">. Wellington: NZ Transport Agency. </w:t>
      </w:r>
    </w:p>
    <w:p w14:paraId="2A6A94FC" w14:textId="77777777" w:rsidR="00CD5666" w:rsidRPr="00CD5666" w:rsidRDefault="00CD5666" w:rsidP="00901DF3">
      <w:pPr>
        <w:spacing w:after="120" w:line="480" w:lineRule="auto"/>
        <w:ind w:left="737" w:hanging="737"/>
        <w:rPr>
          <w:lang w:val="en-US"/>
        </w:rPr>
      </w:pPr>
      <w:r w:rsidRPr="00CD5666">
        <w:rPr>
          <w:lang w:val="en-US"/>
        </w:rPr>
        <w:lastRenderedPageBreak/>
        <w:t xml:space="preserve">Öhrström, E. (1995). Effects of low levels of road traffic noise during the night: a laboratory study on number of events, maximum noise levels and noise sensitivity. </w:t>
      </w:r>
      <w:r w:rsidRPr="00CD5666">
        <w:rPr>
          <w:i/>
          <w:lang w:val="en-US"/>
        </w:rPr>
        <w:t>Journal of Sound and Vibration, 179</w:t>
      </w:r>
      <w:r w:rsidRPr="00CD5666">
        <w:rPr>
          <w:lang w:val="en-US"/>
        </w:rPr>
        <w:t xml:space="preserve"> (4), 603-615.</w:t>
      </w:r>
    </w:p>
    <w:p w14:paraId="3BFD63D0" w14:textId="538FEF50" w:rsidR="001F1588" w:rsidRPr="006051FC" w:rsidRDefault="001F1588" w:rsidP="00901DF3">
      <w:pPr>
        <w:spacing w:after="120" w:line="480" w:lineRule="auto"/>
        <w:ind w:left="737" w:hanging="737"/>
        <w:rPr>
          <w:lang w:val="en-US"/>
        </w:rPr>
      </w:pPr>
      <w:r w:rsidRPr="006051FC">
        <w:rPr>
          <w:lang w:val="en-US"/>
        </w:rPr>
        <w:t xml:space="preserve">Ortuzar J, Iacobelli S, Valeze C. </w:t>
      </w:r>
      <w:r w:rsidR="00AE4113" w:rsidRPr="006051FC">
        <w:rPr>
          <w:lang w:val="en-US"/>
        </w:rPr>
        <w:t>(</w:t>
      </w:r>
      <w:r w:rsidRPr="006051FC">
        <w:rPr>
          <w:lang w:val="en-US"/>
        </w:rPr>
        <w:t>2000</w:t>
      </w:r>
      <w:r w:rsidR="00AE4113" w:rsidRPr="006051FC">
        <w:rPr>
          <w:lang w:val="en-US"/>
        </w:rPr>
        <w:t>)</w:t>
      </w:r>
      <w:r w:rsidRPr="006051FC">
        <w:rPr>
          <w:lang w:val="en-US"/>
        </w:rPr>
        <w:t>. Estimating demand for a cycle-way network. Transportation Research Part A 34(5):353–373.</w:t>
      </w:r>
    </w:p>
    <w:p w14:paraId="6706F568" w14:textId="77777777" w:rsidR="00CD5666" w:rsidRPr="00CD5666" w:rsidRDefault="00CD5666" w:rsidP="00901DF3">
      <w:pPr>
        <w:spacing w:after="120" w:line="480" w:lineRule="auto"/>
        <w:ind w:left="737" w:hanging="737"/>
        <w:rPr>
          <w:lang w:val="en-US"/>
        </w:rPr>
      </w:pPr>
      <w:r w:rsidRPr="00CD5666">
        <w:rPr>
          <w:lang w:val="en-US"/>
        </w:rPr>
        <w:t xml:space="preserve">Panis, L. I., De Geus, B., Vandenbulcke, G., Willems, H., Degraeuwe, B., Bleux, N., Mishra, V., Thomas, I., &amp; Meeusen, R., (2010). Exposure to particulate matter in traffic: a comparison of cyclists and car passengers. </w:t>
      </w:r>
      <w:r w:rsidRPr="00CD5666">
        <w:rPr>
          <w:i/>
          <w:lang w:val="en-US"/>
        </w:rPr>
        <w:t>Atmospheric Environment, 44</w:t>
      </w:r>
      <w:r w:rsidRPr="00CD5666">
        <w:rPr>
          <w:lang w:val="en-US"/>
        </w:rPr>
        <w:t xml:space="preserve"> (19), 2263-2270.</w:t>
      </w:r>
    </w:p>
    <w:p w14:paraId="0CE76153" w14:textId="074B8B68" w:rsidR="001F1588" w:rsidRPr="006051FC" w:rsidRDefault="001F1588" w:rsidP="00901DF3">
      <w:pPr>
        <w:spacing w:after="120" w:line="480" w:lineRule="auto"/>
        <w:ind w:left="737" w:hanging="737"/>
        <w:rPr>
          <w:lang w:val="en-US"/>
        </w:rPr>
      </w:pPr>
      <w:r w:rsidRPr="006051FC">
        <w:rPr>
          <w:lang w:val="en-US"/>
        </w:rPr>
        <w:t xml:space="preserve">Parks, S., Gowdy, J. </w:t>
      </w:r>
      <w:r w:rsidR="00AE4113" w:rsidRPr="006051FC">
        <w:rPr>
          <w:lang w:val="en-US"/>
        </w:rPr>
        <w:t>(</w:t>
      </w:r>
      <w:r w:rsidRPr="006051FC">
        <w:rPr>
          <w:lang w:val="en-US"/>
        </w:rPr>
        <w:t>2013</w:t>
      </w:r>
      <w:r w:rsidR="00AE4113" w:rsidRPr="006051FC">
        <w:rPr>
          <w:lang w:val="en-US"/>
        </w:rPr>
        <w:t>)</w:t>
      </w:r>
      <w:r w:rsidRPr="006051FC">
        <w:rPr>
          <w:lang w:val="en-US"/>
        </w:rPr>
        <w:t xml:space="preserve">. What have economists learned about valuing nature? A review essay. </w:t>
      </w:r>
      <w:r w:rsidRPr="006051FC">
        <w:rPr>
          <w:i/>
          <w:lang w:val="en-US"/>
        </w:rPr>
        <w:t>Ecosystem Services</w:t>
      </w:r>
      <w:r w:rsidRPr="006051FC">
        <w:rPr>
          <w:lang w:val="en-US"/>
        </w:rPr>
        <w:t xml:space="preserve"> 3: e1-e10.</w:t>
      </w:r>
    </w:p>
    <w:p w14:paraId="4F09DDC0" w14:textId="77777777" w:rsidR="00CD5666" w:rsidRPr="00CD5666" w:rsidRDefault="00CD5666" w:rsidP="00901DF3">
      <w:pPr>
        <w:spacing w:after="120" w:line="480" w:lineRule="auto"/>
        <w:ind w:left="737" w:hanging="737"/>
        <w:rPr>
          <w:lang w:val="en-US"/>
        </w:rPr>
      </w:pPr>
      <w:r w:rsidRPr="00CD5666">
        <w:rPr>
          <w:lang w:val="en-US"/>
        </w:rPr>
        <w:t xml:space="preserve">Patel, M. M., &amp; Miller, R. L. (2009). Air pollution and childhood asthma: recent advances and future directions. </w:t>
      </w:r>
      <w:r w:rsidRPr="00CD5666">
        <w:rPr>
          <w:i/>
          <w:lang w:val="en-US"/>
        </w:rPr>
        <w:t xml:space="preserve">Current opinion in pediatrics, 21 </w:t>
      </w:r>
      <w:r w:rsidRPr="00CD5666">
        <w:rPr>
          <w:lang w:val="en-US"/>
        </w:rPr>
        <w:t>(2), 235.</w:t>
      </w:r>
    </w:p>
    <w:p w14:paraId="344E483F" w14:textId="77777777" w:rsidR="00CD5666" w:rsidRPr="00CD5666" w:rsidRDefault="00CD5666" w:rsidP="00901DF3">
      <w:pPr>
        <w:spacing w:after="120" w:line="480" w:lineRule="auto"/>
        <w:ind w:left="737" w:hanging="737"/>
        <w:rPr>
          <w:lang w:val="en-US"/>
        </w:rPr>
      </w:pPr>
      <w:r w:rsidRPr="00CD5666">
        <w:rPr>
          <w:lang w:val="en-US"/>
        </w:rPr>
        <w:t xml:space="preserve">Poenaru, S., Rouhani, S., Poggi, D., Colas, C., Cohen, E., Blacker, C., Belon, J. P. &amp; Dall' Ava-Santucci, J. (1978). Study of Pathophysiological effects of chronicle exposure to environmental noise in man. </w:t>
      </w:r>
      <w:r w:rsidRPr="00CD5666">
        <w:rPr>
          <w:i/>
          <w:lang w:val="en-US"/>
        </w:rPr>
        <w:t xml:space="preserve">Acoustics Letters, 11, </w:t>
      </w:r>
      <w:r w:rsidRPr="00CD5666">
        <w:rPr>
          <w:lang w:val="en-US"/>
        </w:rPr>
        <w:t>80-88.</w:t>
      </w:r>
    </w:p>
    <w:p w14:paraId="3A366889" w14:textId="77777777" w:rsidR="00CD5666" w:rsidRPr="00CD5666" w:rsidRDefault="00CD5666" w:rsidP="00901DF3">
      <w:pPr>
        <w:spacing w:after="120" w:line="480" w:lineRule="auto"/>
        <w:ind w:left="737" w:hanging="737"/>
        <w:rPr>
          <w:lang w:val="en-US"/>
        </w:rPr>
      </w:pPr>
      <w:r w:rsidRPr="00CD5666">
        <w:rPr>
          <w:lang w:val="en-US"/>
        </w:rPr>
        <w:t xml:space="preserve">Pope III, C. A., Burnett, R. T., Thun, M. J., Calle, E. E., Krewski, D., Ito, K., &amp; Thurston, G. D. (2002). Lung cancer, cardiopulmonary mortality, and long-term exposure to fine particulate air pollution. </w:t>
      </w:r>
      <w:r w:rsidRPr="00CD5666">
        <w:rPr>
          <w:i/>
          <w:lang w:val="en-US"/>
        </w:rPr>
        <w:t>Jama, 287</w:t>
      </w:r>
      <w:r w:rsidRPr="00CD5666">
        <w:rPr>
          <w:lang w:val="en-US"/>
        </w:rPr>
        <w:t xml:space="preserve"> (9), 1132-1141.</w:t>
      </w:r>
    </w:p>
    <w:p w14:paraId="44479808" w14:textId="77777777" w:rsidR="001F1588" w:rsidRPr="006051FC" w:rsidRDefault="001F1588" w:rsidP="00901DF3">
      <w:pPr>
        <w:spacing w:after="120" w:line="480" w:lineRule="auto"/>
        <w:ind w:left="737" w:hanging="737"/>
        <w:rPr>
          <w:lang w:val="en-US"/>
        </w:rPr>
      </w:pPr>
      <w:r w:rsidRPr="006051FC">
        <w:rPr>
          <w:lang w:val="en-US"/>
        </w:rPr>
        <w:t>Pucher, J. and Buehler, R. (2017). Cycling towards a more sustainable transport future. Transport Reviews 37(6), 689-694.</w:t>
      </w:r>
    </w:p>
    <w:p w14:paraId="09A034CA" w14:textId="6526CE98" w:rsidR="001F1588" w:rsidRDefault="001F1588" w:rsidP="00901DF3">
      <w:pPr>
        <w:spacing w:after="120" w:line="480" w:lineRule="auto"/>
        <w:ind w:left="737" w:hanging="737"/>
      </w:pPr>
      <w:r w:rsidRPr="005C31EB">
        <w:rPr>
          <w:lang w:val="en-US"/>
        </w:rPr>
        <w:t xml:space="preserve">Rabl, A., De Nazelle, A. </w:t>
      </w:r>
      <w:r w:rsidR="00AE4113" w:rsidRPr="005C31EB">
        <w:rPr>
          <w:lang w:val="en-US"/>
        </w:rPr>
        <w:t>(</w:t>
      </w:r>
      <w:r w:rsidRPr="005C31EB">
        <w:rPr>
          <w:lang w:val="en-US"/>
        </w:rPr>
        <w:t>2012</w:t>
      </w:r>
      <w:r w:rsidR="00AE4113" w:rsidRPr="005C31EB">
        <w:rPr>
          <w:lang w:val="en-US"/>
        </w:rPr>
        <w:t>)</w:t>
      </w:r>
      <w:r w:rsidRPr="005C31EB">
        <w:rPr>
          <w:lang w:val="en-US"/>
        </w:rPr>
        <w:t xml:space="preserve">. </w:t>
      </w:r>
      <w:r w:rsidRPr="006051FC">
        <w:rPr>
          <w:lang w:val="en-US"/>
        </w:rPr>
        <w:t xml:space="preserve">Benefits of shift from car to active transport. </w:t>
      </w:r>
      <w:r w:rsidRPr="00771A11">
        <w:rPr>
          <w:iCs/>
        </w:rPr>
        <w:t>Transport Policy</w:t>
      </w:r>
      <w:r w:rsidRPr="00771A11">
        <w:t xml:space="preserve">, </w:t>
      </w:r>
      <w:r w:rsidRPr="00771A11">
        <w:rPr>
          <w:iCs/>
        </w:rPr>
        <w:t>19</w:t>
      </w:r>
      <w:r w:rsidRPr="00771A11">
        <w:t>(1), 121-131.</w:t>
      </w:r>
    </w:p>
    <w:p w14:paraId="6215E09A" w14:textId="25D02469" w:rsidR="001F1588" w:rsidRPr="006051FC" w:rsidRDefault="001F1588" w:rsidP="00901DF3">
      <w:pPr>
        <w:spacing w:after="120" w:line="480" w:lineRule="auto"/>
        <w:ind w:left="737" w:hanging="737"/>
        <w:rPr>
          <w:lang w:val="en-US"/>
        </w:rPr>
      </w:pPr>
      <w:r w:rsidRPr="0010359C">
        <w:rPr>
          <w:lang w:val="en-US"/>
        </w:rPr>
        <w:lastRenderedPageBreak/>
        <w:t xml:space="preserve">Rank, J. Folke, J., Homann Jespersen, P. </w:t>
      </w:r>
      <w:r w:rsidR="00AE4113" w:rsidRPr="0010359C">
        <w:rPr>
          <w:lang w:val="en-US"/>
        </w:rPr>
        <w:t>(</w:t>
      </w:r>
      <w:r w:rsidRPr="0010359C">
        <w:rPr>
          <w:lang w:val="en-US"/>
        </w:rPr>
        <w:t>2001</w:t>
      </w:r>
      <w:r w:rsidR="00AE4113" w:rsidRPr="0010359C">
        <w:rPr>
          <w:lang w:val="en-US"/>
        </w:rPr>
        <w:t>)</w:t>
      </w:r>
      <w:r w:rsidRPr="0010359C">
        <w:rPr>
          <w:lang w:val="en-US"/>
        </w:rPr>
        <w:t xml:space="preserve">. </w:t>
      </w:r>
      <w:r w:rsidRPr="006051FC">
        <w:rPr>
          <w:lang w:val="en-US"/>
        </w:rPr>
        <w:t xml:space="preserve">Differences in cyclists and car drivers exposure to air pollution from traffic in the city of Copenhagen. </w:t>
      </w:r>
      <w:r w:rsidRPr="006051FC">
        <w:rPr>
          <w:i/>
          <w:lang w:val="en-US"/>
        </w:rPr>
        <w:t xml:space="preserve">The Science of the Total Environment </w:t>
      </w:r>
      <w:r w:rsidRPr="006051FC">
        <w:rPr>
          <w:lang w:val="en-US"/>
        </w:rPr>
        <w:t>279: 131-136.</w:t>
      </w:r>
    </w:p>
    <w:p w14:paraId="2DBE645E" w14:textId="77777777" w:rsidR="00CD5666" w:rsidRPr="00CD5666" w:rsidRDefault="001F1588" w:rsidP="00901DF3">
      <w:pPr>
        <w:pStyle w:val="EndNoteBibliography"/>
        <w:spacing w:after="120" w:line="480" w:lineRule="auto"/>
        <w:ind w:left="737" w:hanging="737"/>
        <w:rPr>
          <w:szCs w:val="24"/>
          <w:lang w:val="sv-SE"/>
        </w:rPr>
      </w:pPr>
      <w:r w:rsidRPr="00CD5666">
        <w:rPr>
          <w:szCs w:val="24"/>
          <w:lang w:val="en-GB"/>
        </w:rPr>
        <w:t xml:space="preserve">Rasmussen MG, Grontved A, Blond K, et al. Associations between Recreational and Commuter Cycling, Changes in Cycling, and Type 2 Diabetes Risk: A Cohort Study of Danish Men and Women. </w:t>
      </w:r>
      <w:r w:rsidRPr="00CD5666">
        <w:rPr>
          <w:i/>
          <w:szCs w:val="24"/>
          <w:lang w:val="sv-SE"/>
        </w:rPr>
        <w:t>PLoS Med</w:t>
      </w:r>
      <w:r w:rsidRPr="00CD5666">
        <w:rPr>
          <w:szCs w:val="24"/>
          <w:lang w:val="sv-SE"/>
        </w:rPr>
        <w:t xml:space="preserve"> 2016; 13(7): e1002076.</w:t>
      </w:r>
    </w:p>
    <w:p w14:paraId="1AF21025" w14:textId="7C1D37EC" w:rsidR="001F1588" w:rsidRPr="00CD5666" w:rsidRDefault="001F1588" w:rsidP="00901DF3">
      <w:pPr>
        <w:pStyle w:val="EndNoteBibliography"/>
        <w:spacing w:after="120" w:line="480" w:lineRule="auto"/>
        <w:ind w:left="737" w:hanging="737"/>
        <w:rPr>
          <w:szCs w:val="24"/>
          <w:lang w:val="sv-SE"/>
        </w:rPr>
      </w:pPr>
      <w:r w:rsidRPr="009F29CE">
        <w:rPr>
          <w:bCs/>
          <w:lang w:val="sv-SE"/>
        </w:rPr>
        <w:t xml:space="preserve">Realise (2018). </w:t>
      </w:r>
      <w:r w:rsidRPr="009B7971">
        <w:rPr>
          <w:bCs/>
          <w:lang w:val="sv-SE"/>
        </w:rPr>
        <w:t xml:space="preserve">Samfundsøkonomisk nøgletalsanalyse for </w:t>
      </w:r>
      <w:r>
        <w:rPr>
          <w:bCs/>
          <w:lang w:val="sv-SE"/>
        </w:rPr>
        <w:t>f</w:t>
      </w:r>
      <w:r w:rsidRPr="00F20695">
        <w:rPr>
          <w:bCs/>
          <w:lang w:val="sv-SE"/>
        </w:rPr>
        <w:t>odgængertrafik i København</w:t>
      </w:r>
      <w:r>
        <w:rPr>
          <w:bCs/>
          <w:lang w:val="sv-SE"/>
        </w:rPr>
        <w:t xml:space="preserve">. </w:t>
      </w:r>
      <w:r w:rsidRPr="005C31EB">
        <w:rPr>
          <w:bCs/>
          <w:lang w:val="sv-SE"/>
        </w:rPr>
        <w:t>Copenhagen: Realise ApS.</w:t>
      </w:r>
    </w:p>
    <w:p w14:paraId="5362161C" w14:textId="77777777" w:rsidR="001F1588" w:rsidRPr="006051FC" w:rsidRDefault="001F1588" w:rsidP="00901DF3">
      <w:pPr>
        <w:spacing w:after="120" w:line="480" w:lineRule="auto"/>
        <w:ind w:left="737" w:hanging="737"/>
        <w:rPr>
          <w:lang w:val="en-US"/>
        </w:rPr>
      </w:pPr>
      <w:r w:rsidRPr="005C31EB">
        <w:rPr>
          <w:lang w:val="sv-SE"/>
        </w:rPr>
        <w:t xml:space="preserve">Rockström, J., Gaffney, O., Rogelj, J., Meinshausen, M., Nakicenovic, N., &amp; Schellnhuber, H. J. (2017). </w:t>
      </w:r>
      <w:r w:rsidRPr="006051FC">
        <w:rPr>
          <w:lang w:val="en-US"/>
        </w:rPr>
        <w:t>A roadmap for rapid decarbonization. </w:t>
      </w:r>
      <w:r w:rsidRPr="006051FC">
        <w:rPr>
          <w:i/>
          <w:iCs/>
          <w:lang w:val="en-US"/>
        </w:rPr>
        <w:t>Science</w:t>
      </w:r>
      <w:r w:rsidRPr="006051FC">
        <w:rPr>
          <w:lang w:val="en-US"/>
        </w:rPr>
        <w:t>, </w:t>
      </w:r>
      <w:r w:rsidRPr="006051FC">
        <w:rPr>
          <w:i/>
          <w:iCs/>
          <w:lang w:val="en-US"/>
        </w:rPr>
        <w:t>355</w:t>
      </w:r>
      <w:r w:rsidRPr="006051FC">
        <w:rPr>
          <w:lang w:val="en-US"/>
        </w:rPr>
        <w:t>(6331), 1269-1271.</w:t>
      </w:r>
    </w:p>
    <w:p w14:paraId="74F712A0" w14:textId="77777777" w:rsidR="001F1588" w:rsidRPr="006051FC" w:rsidRDefault="001F1588" w:rsidP="00901DF3">
      <w:pPr>
        <w:spacing w:after="120" w:line="480" w:lineRule="auto"/>
        <w:ind w:left="737" w:hanging="737"/>
        <w:rPr>
          <w:lang w:val="en-US"/>
        </w:rPr>
      </w:pPr>
      <w:r w:rsidRPr="006051FC">
        <w:rPr>
          <w:lang w:val="en-US"/>
        </w:rPr>
        <w:t>Saelens, B. E., Sallis, J. F., &amp; Frank, L. D. (2003). Environmental correlates of walking and cycling: findings from the transportation, urban design, and planning literatures. </w:t>
      </w:r>
      <w:r w:rsidRPr="006051FC">
        <w:rPr>
          <w:i/>
          <w:iCs/>
          <w:lang w:val="en-US"/>
        </w:rPr>
        <w:t>Annals of Behavioral Medicine</w:t>
      </w:r>
      <w:r w:rsidRPr="006051FC">
        <w:rPr>
          <w:lang w:val="en-US"/>
        </w:rPr>
        <w:t>, </w:t>
      </w:r>
      <w:r w:rsidRPr="006051FC">
        <w:rPr>
          <w:i/>
          <w:iCs/>
          <w:lang w:val="en-US"/>
        </w:rPr>
        <w:t>25</w:t>
      </w:r>
      <w:r w:rsidRPr="006051FC">
        <w:rPr>
          <w:lang w:val="en-US"/>
        </w:rPr>
        <w:t>(2), 80-91.</w:t>
      </w:r>
    </w:p>
    <w:p w14:paraId="459277E4" w14:textId="77777777" w:rsidR="001F1588" w:rsidRPr="006051FC" w:rsidRDefault="001F1588" w:rsidP="00901DF3">
      <w:pPr>
        <w:spacing w:after="120" w:line="480" w:lineRule="auto"/>
        <w:ind w:left="737" w:hanging="737"/>
        <w:rPr>
          <w:lang w:val="en-US"/>
        </w:rPr>
      </w:pPr>
      <w:r w:rsidRPr="006051FC">
        <w:rPr>
          <w:lang w:val="en-US"/>
        </w:rPr>
        <w:t>Saelensminde, K. 2002. Walking- and cycling-track networks in Norwegian cities: Cost-benefit analyses including health effects and external costs of road traffic. Oslo, Institute of Transport Economics</w:t>
      </w:r>
      <w:r w:rsidRPr="006051FC">
        <w:rPr>
          <w:bCs/>
          <w:lang w:val="en-US"/>
        </w:rPr>
        <w:t xml:space="preserve">: </w:t>
      </w:r>
      <w:r w:rsidRPr="006051FC">
        <w:rPr>
          <w:lang w:val="en-US"/>
        </w:rPr>
        <w:t>50.</w:t>
      </w:r>
    </w:p>
    <w:p w14:paraId="723F256D" w14:textId="77777777" w:rsidR="004E1356" w:rsidRPr="00A15606" w:rsidRDefault="004E1356" w:rsidP="00901DF3">
      <w:pPr>
        <w:spacing w:after="120" w:line="480" w:lineRule="auto"/>
        <w:ind w:left="737" w:hanging="737"/>
      </w:pPr>
      <w:r w:rsidRPr="006051FC">
        <w:rPr>
          <w:lang w:val="en-US"/>
        </w:rPr>
        <w:t>Santarius, T., Walnum, H.J., Aall, C., 2016. </w:t>
      </w:r>
      <w:r w:rsidRPr="006051FC">
        <w:rPr>
          <w:iCs/>
          <w:lang w:val="en-US"/>
        </w:rPr>
        <w:t>Rethinking Climate and Energy Policies: New Perspectives on the Rebound Phenomenon</w:t>
      </w:r>
      <w:r w:rsidRPr="006051FC">
        <w:rPr>
          <w:lang w:val="en-US"/>
        </w:rPr>
        <w:t xml:space="preserve">. </w:t>
      </w:r>
      <w:r w:rsidRPr="00A15606">
        <w:t>Springer, Berlin.</w:t>
      </w:r>
    </w:p>
    <w:p w14:paraId="7888CEFD" w14:textId="77777777" w:rsidR="00A15606" w:rsidRPr="006051FC" w:rsidRDefault="00A15606" w:rsidP="00901DF3">
      <w:pPr>
        <w:spacing w:after="120" w:line="480" w:lineRule="auto"/>
        <w:ind w:left="737" w:hanging="737"/>
        <w:rPr>
          <w:lang w:val="en-US" w:eastAsia="sv-SE"/>
        </w:rPr>
      </w:pPr>
      <w:r w:rsidRPr="006051FC">
        <w:rPr>
          <w:lang w:val="en-US" w:eastAsia="sv-SE"/>
        </w:rPr>
        <w:t>Santos, G. (2017). Road fuel taxes in Europe: Do they internalize road transport externalities?. </w:t>
      </w:r>
      <w:r w:rsidRPr="006051FC">
        <w:rPr>
          <w:i/>
          <w:iCs/>
          <w:lang w:val="en-US" w:eastAsia="sv-SE"/>
        </w:rPr>
        <w:t>Transport Policy</w:t>
      </w:r>
      <w:r w:rsidRPr="006051FC">
        <w:rPr>
          <w:lang w:val="en-US" w:eastAsia="sv-SE"/>
        </w:rPr>
        <w:t>, </w:t>
      </w:r>
      <w:r w:rsidRPr="006051FC">
        <w:rPr>
          <w:i/>
          <w:iCs/>
          <w:lang w:val="en-US" w:eastAsia="sv-SE"/>
        </w:rPr>
        <w:t>53</w:t>
      </w:r>
      <w:r w:rsidRPr="006051FC">
        <w:rPr>
          <w:lang w:val="en-US" w:eastAsia="sv-SE"/>
        </w:rPr>
        <w:t>, 120-134.</w:t>
      </w:r>
    </w:p>
    <w:p w14:paraId="347B1F33" w14:textId="77777777" w:rsidR="00CD5666" w:rsidRPr="00CD5666" w:rsidRDefault="00CD5666" w:rsidP="00901DF3">
      <w:pPr>
        <w:spacing w:after="120" w:line="480" w:lineRule="auto"/>
        <w:ind w:left="737" w:hanging="737"/>
        <w:rPr>
          <w:lang w:val="en-US"/>
        </w:rPr>
      </w:pPr>
      <w:r w:rsidRPr="00A15606">
        <w:rPr>
          <w:lang w:val="en-US"/>
        </w:rPr>
        <w:t xml:space="preserve">Schäfer, A., Heywood, J. B., Jacoby, H. D., &amp; Waitz, I. A. (2009). </w:t>
      </w:r>
      <w:r w:rsidRPr="00A15606">
        <w:rPr>
          <w:i/>
          <w:lang w:val="en-US"/>
        </w:rPr>
        <w:t>Transportation in a</w:t>
      </w:r>
      <w:r w:rsidRPr="00CD5666">
        <w:rPr>
          <w:i/>
          <w:lang w:val="en-US"/>
        </w:rPr>
        <w:t xml:space="preserve"> climate-constrained world. </w:t>
      </w:r>
      <w:r w:rsidRPr="00CD5666">
        <w:rPr>
          <w:lang w:val="en-US"/>
        </w:rPr>
        <w:t>Cambridge: MIT Press.</w:t>
      </w:r>
    </w:p>
    <w:p w14:paraId="1A696599" w14:textId="4F90635A" w:rsidR="008C6C0B" w:rsidRPr="00CE63EF" w:rsidRDefault="008C6C0B" w:rsidP="008C6C0B">
      <w:pPr>
        <w:spacing w:after="120" w:line="480" w:lineRule="auto"/>
        <w:ind w:left="737" w:hanging="737"/>
        <w:rPr>
          <w:lang w:val="en-US"/>
        </w:rPr>
      </w:pPr>
      <w:r w:rsidRPr="008C6C0B">
        <w:rPr>
          <w:lang w:val="en-US"/>
        </w:rPr>
        <w:lastRenderedPageBreak/>
        <w:t>Shires, J. D.</w:t>
      </w:r>
      <w:r w:rsidR="00DF2D59">
        <w:rPr>
          <w:lang w:val="en-US"/>
        </w:rPr>
        <w:t xml:space="preserve"> and</w:t>
      </w:r>
      <w:r w:rsidRPr="008C6C0B">
        <w:rPr>
          <w:lang w:val="en-US"/>
        </w:rPr>
        <w:t xml:space="preserve"> Jong, G. C. D.</w:t>
      </w:r>
      <w:r>
        <w:rPr>
          <w:lang w:val="en-US"/>
        </w:rPr>
        <w:t xml:space="preserve"> (2009)</w:t>
      </w:r>
      <w:r w:rsidRPr="008C6C0B">
        <w:rPr>
          <w:lang w:val="en-US"/>
        </w:rPr>
        <w:t xml:space="preserve">. An International Meta-Analysis of Values of Travel Time Savings. </w:t>
      </w:r>
      <w:r w:rsidRPr="00CE63EF">
        <w:rPr>
          <w:lang w:val="en-US"/>
        </w:rPr>
        <w:t>Evaluation and Program Planning, 32(4): 315–325. </w:t>
      </w:r>
    </w:p>
    <w:p w14:paraId="684CC85B" w14:textId="48A350C2" w:rsidR="00760356" w:rsidRPr="006051FC" w:rsidRDefault="00760356" w:rsidP="00972071">
      <w:pPr>
        <w:spacing w:after="120" w:line="480" w:lineRule="auto"/>
        <w:ind w:left="737" w:hanging="737"/>
        <w:rPr>
          <w:rFonts w:eastAsiaTheme="minorEastAsia"/>
          <w:lang w:val="en-US" w:eastAsia="en-GB"/>
        </w:rPr>
      </w:pPr>
      <w:r w:rsidRPr="00760356">
        <w:rPr>
          <w:rFonts w:eastAsiaTheme="minorEastAsia"/>
          <w:lang w:val="en-US" w:eastAsia="en-GB"/>
        </w:rPr>
        <w:t xml:space="preserve">Shoup, D. (2011). The High Cost of Free Parking. </w:t>
      </w:r>
      <w:r w:rsidRPr="006051FC">
        <w:rPr>
          <w:rFonts w:eastAsiaTheme="minorEastAsia"/>
          <w:lang w:val="en-US" w:eastAsia="en-GB"/>
        </w:rPr>
        <w:t>New York: Routledge.</w:t>
      </w:r>
    </w:p>
    <w:p w14:paraId="389A7B9E" w14:textId="77777777" w:rsidR="001F1588" w:rsidRPr="006051FC" w:rsidRDefault="001F1588" w:rsidP="00901DF3">
      <w:pPr>
        <w:spacing w:after="120" w:line="480" w:lineRule="auto"/>
        <w:ind w:left="737" w:hanging="737"/>
        <w:rPr>
          <w:lang w:val="en-US"/>
        </w:rPr>
      </w:pPr>
      <w:r w:rsidRPr="00972071">
        <w:rPr>
          <w:lang w:val="en-US"/>
        </w:rPr>
        <w:t xml:space="preserve">Small, K. A., &amp; Winston, C. (1988). </w:t>
      </w:r>
      <w:r w:rsidRPr="006051FC">
        <w:rPr>
          <w:lang w:val="en-US"/>
        </w:rPr>
        <w:t>Optimal highway durability. </w:t>
      </w:r>
      <w:r w:rsidRPr="006051FC">
        <w:rPr>
          <w:i/>
          <w:iCs/>
          <w:lang w:val="en-US"/>
        </w:rPr>
        <w:t>The American economic review</w:t>
      </w:r>
      <w:r w:rsidRPr="006051FC">
        <w:rPr>
          <w:lang w:val="en-US"/>
        </w:rPr>
        <w:t>, </w:t>
      </w:r>
      <w:r w:rsidRPr="006051FC">
        <w:rPr>
          <w:i/>
          <w:iCs/>
          <w:lang w:val="en-US"/>
        </w:rPr>
        <w:t>78</w:t>
      </w:r>
      <w:r w:rsidRPr="006051FC">
        <w:rPr>
          <w:lang w:val="en-US"/>
        </w:rPr>
        <w:t>(3), 560-569.</w:t>
      </w:r>
    </w:p>
    <w:p w14:paraId="0DE99D1B" w14:textId="0FAF7A08" w:rsidR="00AE2CEA" w:rsidRPr="006051FC" w:rsidRDefault="00AE2CEA" w:rsidP="00901DF3">
      <w:pPr>
        <w:spacing w:after="120" w:line="480" w:lineRule="auto"/>
        <w:ind w:left="737" w:hanging="737"/>
        <w:rPr>
          <w:lang w:val="en-US"/>
        </w:rPr>
      </w:pPr>
      <w:r w:rsidRPr="006051FC">
        <w:rPr>
          <w:lang w:val="en-US"/>
        </w:rPr>
        <w:t>Söderbaum, P. (2007). Issues of paradigm, ideology and democracy in sustainability assessment. </w:t>
      </w:r>
      <w:r w:rsidRPr="006051FC">
        <w:rPr>
          <w:i/>
          <w:iCs/>
          <w:lang w:val="en-US"/>
        </w:rPr>
        <w:t>Ecological Economics</w:t>
      </w:r>
      <w:r w:rsidRPr="006051FC">
        <w:rPr>
          <w:lang w:val="en-US"/>
        </w:rPr>
        <w:t>, </w:t>
      </w:r>
      <w:r w:rsidRPr="006051FC">
        <w:rPr>
          <w:i/>
          <w:iCs/>
          <w:lang w:val="en-US"/>
        </w:rPr>
        <w:t>60</w:t>
      </w:r>
      <w:r w:rsidRPr="006051FC">
        <w:rPr>
          <w:lang w:val="en-US"/>
        </w:rPr>
        <w:t>(3), 613-626.</w:t>
      </w:r>
    </w:p>
    <w:p w14:paraId="24484D50" w14:textId="77777777" w:rsidR="001F1588" w:rsidRPr="006051FC" w:rsidRDefault="001F1588" w:rsidP="00901DF3">
      <w:pPr>
        <w:spacing w:after="120" w:line="480" w:lineRule="auto"/>
        <w:ind w:left="737" w:hanging="737"/>
        <w:rPr>
          <w:lang w:val="en-US"/>
        </w:rPr>
      </w:pPr>
      <w:r w:rsidRPr="005C31EB">
        <w:rPr>
          <w:lang w:val="en-US"/>
        </w:rPr>
        <w:t xml:space="preserve">Sörme, L., &amp; Lagerkvist, R. (2002). </w:t>
      </w:r>
      <w:r w:rsidRPr="006051FC">
        <w:rPr>
          <w:lang w:val="en-US"/>
        </w:rPr>
        <w:t>Sources of heavy metals in urban wastewater in Stockholm. Science of the Total Environment, 298(1-3), 131-145.</w:t>
      </w:r>
    </w:p>
    <w:p w14:paraId="6EB43AD8" w14:textId="77777777" w:rsidR="001F1588" w:rsidRPr="006051FC" w:rsidRDefault="001F1588" w:rsidP="00901DF3">
      <w:pPr>
        <w:spacing w:after="120" w:line="480" w:lineRule="auto"/>
        <w:ind w:left="737" w:hanging="737"/>
        <w:rPr>
          <w:lang w:val="en-US"/>
        </w:rPr>
      </w:pPr>
      <w:r w:rsidRPr="006051FC">
        <w:rPr>
          <w:lang w:val="en-US"/>
        </w:rPr>
        <w:t>Steg, L., &amp; Gifford, R. (2005). Sustainable transportation and quality of life. </w:t>
      </w:r>
      <w:r w:rsidRPr="006051FC">
        <w:rPr>
          <w:i/>
          <w:iCs/>
          <w:lang w:val="en-US"/>
        </w:rPr>
        <w:t>Journal of Transport Geography</w:t>
      </w:r>
      <w:r w:rsidRPr="006051FC">
        <w:rPr>
          <w:lang w:val="en-US"/>
        </w:rPr>
        <w:t>, </w:t>
      </w:r>
      <w:r w:rsidRPr="006051FC">
        <w:rPr>
          <w:i/>
          <w:iCs/>
          <w:lang w:val="en-US"/>
        </w:rPr>
        <w:t>13</w:t>
      </w:r>
      <w:r w:rsidRPr="006051FC">
        <w:rPr>
          <w:lang w:val="en-US"/>
        </w:rPr>
        <w:t>(1), 59-69.</w:t>
      </w:r>
    </w:p>
    <w:p w14:paraId="134265CF" w14:textId="550CC1F7" w:rsidR="001F1588" w:rsidRPr="006051FC" w:rsidRDefault="001F1588" w:rsidP="00901DF3">
      <w:pPr>
        <w:spacing w:after="120" w:line="480" w:lineRule="auto"/>
        <w:ind w:left="737" w:hanging="737"/>
        <w:rPr>
          <w:lang w:val="en-US"/>
        </w:rPr>
      </w:pPr>
      <w:r w:rsidRPr="006051FC">
        <w:rPr>
          <w:lang w:val="en-US"/>
        </w:rPr>
        <w:t>Stern N. (2006)</w:t>
      </w:r>
      <w:r w:rsidR="00AE4113" w:rsidRPr="006051FC">
        <w:rPr>
          <w:lang w:val="en-US"/>
        </w:rPr>
        <w:t>.</w:t>
      </w:r>
      <w:r w:rsidRPr="006051FC">
        <w:rPr>
          <w:lang w:val="en-US"/>
        </w:rPr>
        <w:t xml:space="preserve"> Stern review report on the economics of climate change. 2006. http://www.wwf.se/source.php/1169157/Stern%20Report_Exec%20 Summary.pdf (accessed Sept 29, 2017).</w:t>
      </w:r>
    </w:p>
    <w:p w14:paraId="3053EE92" w14:textId="168B2250" w:rsidR="00CD5666" w:rsidRPr="00CD5666" w:rsidRDefault="00CD5666" w:rsidP="00901DF3">
      <w:pPr>
        <w:spacing w:after="120" w:line="480" w:lineRule="auto"/>
        <w:ind w:left="737" w:hanging="737"/>
        <w:rPr>
          <w:lang w:val="en-US"/>
        </w:rPr>
      </w:pPr>
      <w:r w:rsidRPr="00CD5666">
        <w:rPr>
          <w:lang w:val="en-US"/>
        </w:rPr>
        <w:t>Sunyer, J., Esnaola, M., Alvarez-Pedrerol, M., Forns, J., Rivas, I., López-Vicente, M., Suades-González, E., Foraster, M., Garcia-Esteban, R., Basagaña, X., Viana, M., Cirach, M., Moreno, T., Alastuey, A., Sebastian-Galles, N., N</w:t>
      </w:r>
      <w:r w:rsidR="00AE4113">
        <w:rPr>
          <w:lang w:val="en-US"/>
        </w:rPr>
        <w:t>ieuwenhuijsen, M., &amp; Querol, X.</w:t>
      </w:r>
      <w:r w:rsidRPr="00CD5666">
        <w:rPr>
          <w:lang w:val="en-US"/>
        </w:rPr>
        <w:t xml:space="preserve"> (2015). Association between Traffic-Related Air Pollution in Schools and Cognitive Development in Primary School Children: A Prospective Cohort Study. PLoS Medicine, 12(3).</w:t>
      </w:r>
    </w:p>
    <w:p w14:paraId="0A97357E" w14:textId="77777777" w:rsidR="001F1588" w:rsidRPr="006051FC" w:rsidRDefault="001F1588" w:rsidP="00901DF3">
      <w:pPr>
        <w:spacing w:after="120" w:line="480" w:lineRule="auto"/>
        <w:ind w:left="737" w:hanging="737"/>
        <w:rPr>
          <w:rStyle w:val="Hyperlink"/>
          <w:lang w:val="en-US"/>
        </w:rPr>
      </w:pPr>
      <w:r w:rsidRPr="006051FC">
        <w:rPr>
          <w:lang w:val="en-US"/>
        </w:rPr>
        <w:t xml:space="preserve">The Lancet (2017). The Lancet Commission on pollution and health. October 19, 2017, </w:t>
      </w:r>
      <w:r w:rsidRPr="006051FC">
        <w:rPr>
          <w:bCs/>
          <w:lang w:val="en-US"/>
        </w:rPr>
        <w:t xml:space="preserve">http://dx.doi.org/10.1016/S0140-6736(17)32345-0, </w:t>
      </w:r>
      <w:hyperlink r:id="rId33" w:history="1">
        <w:r w:rsidRPr="006051FC">
          <w:rPr>
            <w:rStyle w:val="Hyperlink"/>
            <w:lang w:val="en-US"/>
          </w:rPr>
          <w:t>http://www.thelancet.com/commissions/pollution-and-health</w:t>
        </w:r>
      </w:hyperlink>
    </w:p>
    <w:p w14:paraId="65EBE2D6" w14:textId="3B1A6632" w:rsidR="001F1588" w:rsidRPr="006051FC" w:rsidRDefault="001F1588" w:rsidP="00901DF3">
      <w:pPr>
        <w:spacing w:after="120" w:line="480" w:lineRule="auto"/>
        <w:ind w:left="737" w:hanging="737"/>
        <w:rPr>
          <w:lang w:val="en-US"/>
        </w:rPr>
      </w:pPr>
      <w:r w:rsidRPr="006051FC">
        <w:rPr>
          <w:lang w:val="en-US"/>
        </w:rPr>
        <w:lastRenderedPageBreak/>
        <w:t xml:space="preserve">Tilahun, N.Y., Levinson, D.M., Krizek, K.J. </w:t>
      </w:r>
      <w:r w:rsidR="00AE4113" w:rsidRPr="006051FC">
        <w:rPr>
          <w:lang w:val="en-US"/>
        </w:rPr>
        <w:t>(</w:t>
      </w:r>
      <w:r w:rsidRPr="006051FC">
        <w:rPr>
          <w:lang w:val="en-US"/>
        </w:rPr>
        <w:t>2007</w:t>
      </w:r>
      <w:r w:rsidR="00AE4113" w:rsidRPr="006051FC">
        <w:rPr>
          <w:lang w:val="en-US"/>
        </w:rPr>
        <w:t>)</w:t>
      </w:r>
      <w:r w:rsidRPr="006051FC">
        <w:rPr>
          <w:lang w:val="en-US"/>
        </w:rPr>
        <w:t xml:space="preserve">. Trails, lanes, or traffic: Valuing bicycle facilities with an adaptive stated preference survey. </w:t>
      </w:r>
      <w:r w:rsidRPr="006051FC">
        <w:rPr>
          <w:i/>
          <w:lang w:val="en-US"/>
        </w:rPr>
        <w:t>Transportation Research Part A</w:t>
      </w:r>
      <w:r w:rsidR="00AE4113" w:rsidRPr="006051FC">
        <w:rPr>
          <w:lang w:val="en-US"/>
        </w:rPr>
        <w:t xml:space="preserve"> </w:t>
      </w:r>
      <w:r w:rsidRPr="006051FC">
        <w:rPr>
          <w:lang w:val="en-US"/>
        </w:rPr>
        <w:t>41: 287-301.</w:t>
      </w:r>
    </w:p>
    <w:p w14:paraId="7BC82B0D" w14:textId="77777777" w:rsidR="00972071" w:rsidRPr="00972071" w:rsidRDefault="001F1588" w:rsidP="00972071">
      <w:pPr>
        <w:spacing w:after="120" w:line="480" w:lineRule="auto"/>
        <w:ind w:left="737" w:hanging="737"/>
        <w:rPr>
          <w:lang w:val="en-US"/>
        </w:rPr>
      </w:pPr>
      <w:r w:rsidRPr="006051FC">
        <w:rPr>
          <w:lang w:val="en-US"/>
        </w:rPr>
        <w:t xml:space="preserve">Transportation Economics </w:t>
      </w:r>
      <w:r w:rsidR="00AE4113" w:rsidRPr="006051FC">
        <w:rPr>
          <w:lang w:val="en-US"/>
        </w:rPr>
        <w:t>(</w:t>
      </w:r>
      <w:r w:rsidRPr="006051FC">
        <w:rPr>
          <w:lang w:val="en-US"/>
        </w:rPr>
        <w:t>2017</w:t>
      </w:r>
      <w:r w:rsidR="00AE4113" w:rsidRPr="006051FC">
        <w:rPr>
          <w:lang w:val="en-US"/>
        </w:rPr>
        <w:t>)</w:t>
      </w:r>
      <w:r w:rsidRPr="006051FC">
        <w:rPr>
          <w:lang w:val="en-US"/>
        </w:rPr>
        <w:t xml:space="preserve">. When to use benefit-cost analysis. </w:t>
      </w:r>
      <w:r w:rsidRPr="00972071">
        <w:rPr>
          <w:lang w:val="en-US"/>
        </w:rPr>
        <w:t xml:space="preserve">Available: </w:t>
      </w:r>
      <w:hyperlink r:id="rId34" w:history="1">
        <w:r w:rsidRPr="00972071">
          <w:rPr>
            <w:rStyle w:val="Hyperlink"/>
            <w:lang w:val="en-US"/>
          </w:rPr>
          <w:t>http://bca.transportationeconomics.org/home/when-to-use-benefit-cost-analysis</w:t>
        </w:r>
      </w:hyperlink>
      <w:r w:rsidRPr="00972071">
        <w:rPr>
          <w:lang w:val="en-US"/>
        </w:rPr>
        <w:t xml:space="preserve"> Accessed 28 November 2017.</w:t>
      </w:r>
    </w:p>
    <w:p w14:paraId="712282C1" w14:textId="49289BE4" w:rsidR="001F1588" w:rsidRPr="0050741C" w:rsidRDefault="001F1588" w:rsidP="00972071">
      <w:pPr>
        <w:spacing w:after="120" w:line="480" w:lineRule="auto"/>
        <w:ind w:left="737" w:hanging="737"/>
        <w:rPr>
          <w:lang w:val="en-US"/>
        </w:rPr>
      </w:pPr>
      <w:r w:rsidRPr="009F29CE">
        <w:rPr>
          <w:bCs/>
          <w:lang w:val="sv-SE"/>
        </w:rPr>
        <w:t xml:space="preserve">Transportministeriet (2013). Cyklingens effekter og samfundsøkonomi. </w:t>
      </w:r>
      <w:r w:rsidRPr="0050741C">
        <w:rPr>
          <w:bCs/>
          <w:lang w:val="en-US"/>
        </w:rPr>
        <w:t xml:space="preserve">Available: </w:t>
      </w:r>
      <w:hyperlink r:id="rId35" w:history="1">
        <w:r w:rsidRPr="0050741C">
          <w:rPr>
            <w:rStyle w:val="Hyperlink"/>
            <w:bCs/>
            <w:lang w:val="en-US"/>
          </w:rPr>
          <w:t>https://www.trm.dk/da/temaer/ny-cykelstrategi-2013/arbejdspapirer-og-arbejdsgruppe</w:t>
        </w:r>
      </w:hyperlink>
      <w:r w:rsidRPr="0050741C">
        <w:rPr>
          <w:bCs/>
          <w:lang w:val="en-US"/>
        </w:rPr>
        <w:t xml:space="preserve"> Accessed 2 May 2018.</w:t>
      </w:r>
    </w:p>
    <w:p w14:paraId="53FF0CEA" w14:textId="77777777" w:rsidR="001F1588" w:rsidRPr="005C31EB" w:rsidRDefault="001F1588" w:rsidP="00901DF3">
      <w:pPr>
        <w:pStyle w:val="EndNoteBibliography"/>
        <w:spacing w:after="120" w:line="480" w:lineRule="auto"/>
        <w:ind w:left="737" w:hanging="737"/>
        <w:rPr>
          <w:szCs w:val="24"/>
          <w:lang w:val="de-DE"/>
        </w:rPr>
      </w:pPr>
      <w:r w:rsidRPr="005C31EB">
        <w:rPr>
          <w:szCs w:val="24"/>
          <w:lang w:val="de-DE"/>
        </w:rPr>
        <w:t xml:space="preserve">Umweltbundesamt (2017). Klimaschutzbericht 2017. Available: </w:t>
      </w:r>
      <w:hyperlink r:id="rId36" w:history="1">
        <w:r w:rsidRPr="005C31EB">
          <w:rPr>
            <w:rStyle w:val="Hyperlink"/>
            <w:szCs w:val="24"/>
            <w:lang w:val="de-DE"/>
          </w:rPr>
          <w:t>http://www.umweltbundesamt.at/fileadmin/site/publikationen/REP0622.pdf</w:t>
        </w:r>
      </w:hyperlink>
      <w:r w:rsidRPr="005C31EB">
        <w:rPr>
          <w:szCs w:val="24"/>
          <w:lang w:val="de-DE"/>
        </w:rPr>
        <w:t xml:space="preserve"> Accessed 4 April 2018.</w:t>
      </w:r>
    </w:p>
    <w:p w14:paraId="0E822456" w14:textId="386EAA9F" w:rsidR="002F1EEA" w:rsidRPr="0050741C" w:rsidRDefault="002F1EEA" w:rsidP="00901DF3">
      <w:pPr>
        <w:spacing w:after="120" w:line="480" w:lineRule="auto"/>
        <w:ind w:left="737" w:hanging="737"/>
        <w:rPr>
          <w:bCs/>
          <w:lang w:val="en-US"/>
        </w:rPr>
      </w:pPr>
      <w:r w:rsidRPr="0050741C">
        <w:rPr>
          <w:bCs/>
          <w:lang w:val="en-US"/>
        </w:rPr>
        <w:t>UNFCCC (2015). Various documents. Retrieved from: www.unfccc.int</w:t>
      </w:r>
    </w:p>
    <w:p w14:paraId="1FB98972" w14:textId="7BC84D51" w:rsidR="00CD5666" w:rsidRDefault="00CD5666" w:rsidP="00901DF3">
      <w:pPr>
        <w:spacing w:after="120" w:line="480" w:lineRule="auto"/>
        <w:ind w:left="737" w:hanging="737"/>
        <w:rPr>
          <w:lang w:val="en-US"/>
        </w:rPr>
      </w:pPr>
      <w:r w:rsidRPr="00CD5666">
        <w:rPr>
          <w:lang w:val="en-US"/>
        </w:rPr>
        <w:t>Vette, A., Burke, J., Norris, G., Landis, M., Batterman, S., Breen, M., Isakov, V., Lewis, T., Gilmour, M.I., Kamal, A., Hammond, D., Vedantham, R., Bereznic</w:t>
      </w:r>
      <w:r w:rsidR="00AE4113">
        <w:rPr>
          <w:lang w:val="en-US"/>
        </w:rPr>
        <w:t>ki, S., Tian, N., &amp; Croghan, C.</w:t>
      </w:r>
      <w:r w:rsidRPr="00CD5666">
        <w:rPr>
          <w:lang w:val="en-US"/>
        </w:rPr>
        <w:t xml:space="preserve"> (2013). The near-road exposures and effects of urban air pollutants study (NEXUS): Study design and methods</w:t>
      </w:r>
      <w:r w:rsidRPr="00CD5666">
        <w:rPr>
          <w:i/>
          <w:lang w:val="en-US"/>
        </w:rPr>
        <w:t>. Science of the Total Environment, 448,</w:t>
      </w:r>
      <w:r w:rsidRPr="00CD5666">
        <w:rPr>
          <w:lang w:val="en-US"/>
        </w:rPr>
        <w:t xml:space="preserve"> 38-47.</w:t>
      </w:r>
    </w:p>
    <w:p w14:paraId="4E4B23F8" w14:textId="3FB38A4E" w:rsidR="005055A1" w:rsidRPr="00CD5666" w:rsidRDefault="005055A1" w:rsidP="00901DF3">
      <w:pPr>
        <w:spacing w:after="120" w:line="480" w:lineRule="auto"/>
        <w:ind w:left="737" w:hanging="737"/>
        <w:rPr>
          <w:lang w:val="en-US"/>
        </w:rPr>
      </w:pPr>
      <w:r>
        <w:rPr>
          <w:lang w:val="en-US"/>
        </w:rPr>
        <w:t xml:space="preserve">VTPI (Viktoria Transport Policy Institute) (2018). Transportation Cost Literature Review. Available: </w:t>
      </w:r>
      <w:hyperlink r:id="rId37" w:history="1">
        <w:r w:rsidRPr="009016FF">
          <w:rPr>
            <w:rStyle w:val="Hyperlink"/>
            <w:bCs/>
            <w:lang w:val="en-GB"/>
          </w:rPr>
          <w:t>http://www.vtpi.org/tca/tca02.pdf</w:t>
        </w:r>
      </w:hyperlink>
      <w:r>
        <w:rPr>
          <w:bCs/>
          <w:lang w:val="en-GB"/>
        </w:rPr>
        <w:t xml:space="preserve"> Accessed 20 November 2018.</w:t>
      </w:r>
    </w:p>
    <w:p w14:paraId="78C76DB6" w14:textId="7019EF10" w:rsidR="001F1588" w:rsidRPr="0050741C" w:rsidRDefault="00AE4113" w:rsidP="00901DF3">
      <w:pPr>
        <w:spacing w:after="120" w:line="480" w:lineRule="auto"/>
        <w:ind w:left="737" w:hanging="737"/>
        <w:rPr>
          <w:lang w:val="en-US"/>
        </w:rPr>
      </w:pPr>
      <w:r w:rsidRPr="0050741C">
        <w:rPr>
          <w:lang w:val="en-US"/>
        </w:rPr>
        <w:t>WHO (1999).</w:t>
      </w:r>
      <w:r w:rsidR="001F1588" w:rsidRPr="0050741C">
        <w:rPr>
          <w:lang w:val="en-US"/>
        </w:rPr>
        <w:t xml:space="preserve"> Health Costs due to Road Traffic-related Air Pollution. An impact assessment project of Austria, France and Switzerland. Economic Evaluation. Technical Report on Economy, Federal Department of Environment, Transport, Energy and Communications, Bureau for Transport Studies, Bern, Switzerland.</w:t>
      </w:r>
    </w:p>
    <w:p w14:paraId="15C8DD60" w14:textId="30DBBFC2" w:rsidR="001F1588" w:rsidRPr="0050741C" w:rsidRDefault="001F1588" w:rsidP="00901DF3">
      <w:pPr>
        <w:spacing w:after="120" w:line="480" w:lineRule="auto"/>
        <w:ind w:left="737" w:hanging="737"/>
        <w:rPr>
          <w:lang w:val="en-US"/>
        </w:rPr>
      </w:pPr>
      <w:r w:rsidRPr="0050741C">
        <w:rPr>
          <w:lang w:val="en-US"/>
        </w:rPr>
        <w:lastRenderedPageBreak/>
        <w:t xml:space="preserve">Wittink, R. </w:t>
      </w:r>
      <w:r w:rsidR="00AE4113" w:rsidRPr="0050741C">
        <w:rPr>
          <w:lang w:val="en-US"/>
        </w:rPr>
        <w:t>(</w:t>
      </w:r>
      <w:r w:rsidRPr="0050741C">
        <w:rPr>
          <w:lang w:val="en-US"/>
        </w:rPr>
        <w:t>2001</w:t>
      </w:r>
      <w:r w:rsidR="00AE4113" w:rsidRPr="0050741C">
        <w:rPr>
          <w:lang w:val="en-US"/>
        </w:rPr>
        <w:t>)</w:t>
      </w:r>
      <w:r w:rsidRPr="0050741C">
        <w:rPr>
          <w:lang w:val="en-US"/>
        </w:rPr>
        <w:t xml:space="preserve">. Promotion of mobility and safety of vulnerable road users. </w:t>
      </w:r>
      <w:r w:rsidRPr="0050741C">
        <w:rPr>
          <w:iCs/>
          <w:lang w:val="en-US"/>
        </w:rPr>
        <w:t>SWOV Institute for Road Safety Research, Leidschendam, The Netherlands, Report Number D-2001-3</w:t>
      </w:r>
      <w:r w:rsidRPr="0050741C">
        <w:rPr>
          <w:lang w:val="en-US"/>
        </w:rPr>
        <w:t>.</w:t>
      </w:r>
    </w:p>
    <w:p w14:paraId="55E161E6" w14:textId="77777777" w:rsidR="001F1588" w:rsidRPr="0050741C" w:rsidRDefault="001F1588" w:rsidP="00901DF3">
      <w:pPr>
        <w:spacing w:after="120" w:line="480" w:lineRule="auto"/>
        <w:ind w:left="737" w:hanging="737"/>
        <w:rPr>
          <w:lang w:val="en-US"/>
        </w:rPr>
      </w:pPr>
      <w:r w:rsidRPr="0050741C">
        <w:rPr>
          <w:lang w:val="en-US"/>
        </w:rPr>
        <w:t>World Bank (2017). Gross domestic product 2016. Available: https://databank.worldbank.org/data/download/GDP.pdf Accessed 8 February 2018.</w:t>
      </w:r>
    </w:p>
    <w:p w14:paraId="42758CF8" w14:textId="77777777" w:rsidR="001F1588" w:rsidRPr="0050741C" w:rsidRDefault="001F1588" w:rsidP="00901DF3">
      <w:pPr>
        <w:spacing w:after="120" w:line="480" w:lineRule="auto"/>
        <w:ind w:left="737" w:hanging="737"/>
        <w:jc w:val="both"/>
        <w:rPr>
          <w:lang w:val="en-US"/>
        </w:rPr>
      </w:pPr>
      <w:r w:rsidRPr="0050741C">
        <w:rPr>
          <w:lang w:val="en-US"/>
        </w:rPr>
        <w:t>World Health Organization (2015). Global Status Report on Road Safety 2015. Retrieved from: http://www.who.int/violence_injury_prevention/road_safety_status/2015/en/. Accessed 8 July 2017.</w:t>
      </w:r>
    </w:p>
    <w:p w14:paraId="32ADECD2" w14:textId="49249FC7" w:rsidR="001F1588" w:rsidRPr="0050741C" w:rsidRDefault="00AE4113" w:rsidP="00901DF3">
      <w:pPr>
        <w:spacing w:after="120" w:line="480" w:lineRule="auto"/>
        <w:ind w:left="737" w:hanging="737"/>
        <w:rPr>
          <w:rFonts w:eastAsia="MS Mincho"/>
          <w:lang w:val="en-US"/>
        </w:rPr>
      </w:pPr>
      <w:r w:rsidRPr="0050741C">
        <w:rPr>
          <w:lang w:val="en-US"/>
        </w:rPr>
        <w:t>World Health Organization</w:t>
      </w:r>
      <w:r w:rsidR="001F1588" w:rsidRPr="0050741C">
        <w:rPr>
          <w:lang w:val="en-US"/>
        </w:rPr>
        <w:t xml:space="preserve"> </w:t>
      </w:r>
      <w:r w:rsidRPr="0050741C">
        <w:rPr>
          <w:lang w:val="en-US"/>
        </w:rPr>
        <w:t>(</w:t>
      </w:r>
      <w:r w:rsidR="001F1588" w:rsidRPr="0050741C">
        <w:rPr>
          <w:lang w:val="en-US"/>
        </w:rPr>
        <w:t>2011</w:t>
      </w:r>
      <w:r w:rsidRPr="0050741C">
        <w:rPr>
          <w:lang w:val="en-US"/>
        </w:rPr>
        <w:t>)</w:t>
      </w:r>
      <w:r w:rsidR="001F1588" w:rsidRPr="0050741C">
        <w:rPr>
          <w:lang w:val="en-US"/>
        </w:rPr>
        <w:t>. Burden of Disease from Environmental Noise. Retrieved from: http://www.who.int/quantifying_ehimpacts/publications/e94888.pdf?ua=1.</w:t>
      </w:r>
      <w:r w:rsidR="001F1588" w:rsidRPr="0050741C">
        <w:rPr>
          <w:rFonts w:ascii="MS Mincho" w:eastAsia="MS Mincho" w:hAnsi="MS Mincho" w:cs="MS Mincho"/>
          <w:lang w:val="en-US"/>
        </w:rPr>
        <w:t> </w:t>
      </w:r>
    </w:p>
    <w:p w14:paraId="55630F40" w14:textId="0625D056" w:rsidR="001F1588" w:rsidRPr="0050741C" w:rsidRDefault="00AE4113" w:rsidP="00901DF3">
      <w:pPr>
        <w:spacing w:after="120" w:line="480" w:lineRule="auto"/>
        <w:ind w:left="737" w:hanging="737"/>
        <w:rPr>
          <w:lang w:val="en-US"/>
        </w:rPr>
      </w:pPr>
      <w:r w:rsidRPr="0050741C">
        <w:rPr>
          <w:lang w:val="en-US"/>
        </w:rPr>
        <w:t>World Health Organization</w:t>
      </w:r>
      <w:r w:rsidR="001F1588" w:rsidRPr="0050741C">
        <w:rPr>
          <w:lang w:val="en-US"/>
        </w:rPr>
        <w:t xml:space="preserve"> </w:t>
      </w:r>
      <w:r w:rsidRPr="0050741C">
        <w:rPr>
          <w:lang w:val="en-US"/>
        </w:rPr>
        <w:t>(</w:t>
      </w:r>
      <w:r w:rsidR="001F1588" w:rsidRPr="0050741C">
        <w:rPr>
          <w:lang w:val="en-US"/>
        </w:rPr>
        <w:t>2016</w:t>
      </w:r>
      <w:r w:rsidRPr="0050741C">
        <w:rPr>
          <w:lang w:val="en-US"/>
        </w:rPr>
        <w:t>)</w:t>
      </w:r>
      <w:r w:rsidR="001F1588" w:rsidRPr="0050741C">
        <w:rPr>
          <w:lang w:val="en-US"/>
        </w:rPr>
        <w:t xml:space="preserve">. Global Status Report on Road Safety 2015. Retrieved from: </w:t>
      </w:r>
      <w:hyperlink r:id="rId38" w:history="1">
        <w:r w:rsidR="001F1588" w:rsidRPr="0050741C">
          <w:rPr>
            <w:rStyle w:val="Hyperlink"/>
            <w:lang w:val="en-US"/>
          </w:rPr>
          <w:t>http://www.who.int/violence_injury_prevention/road_safety_status/2015/en/</w:t>
        </w:r>
      </w:hyperlink>
      <w:r w:rsidR="001F1588" w:rsidRPr="0050741C">
        <w:rPr>
          <w:lang w:val="en-US"/>
        </w:rPr>
        <w:t>.</w:t>
      </w:r>
    </w:p>
    <w:p w14:paraId="344C6A6F" w14:textId="2402D7B4" w:rsidR="001D1B55" w:rsidRPr="002F1EEA" w:rsidRDefault="001F1588" w:rsidP="00901DF3">
      <w:pPr>
        <w:spacing w:after="120" w:line="480" w:lineRule="auto"/>
        <w:ind w:left="737" w:hanging="737"/>
      </w:pPr>
      <w:r w:rsidRPr="005C31EB">
        <w:rPr>
          <w:lang w:val="en-US"/>
        </w:rPr>
        <w:t xml:space="preserve">Zuurbier, M., Hoek, G., Oldenwening, M., Lenters, V., Meliefste, K., van den Hazel, P., &amp; Brunekreef, B. (2010). </w:t>
      </w:r>
      <w:r w:rsidRPr="0050741C">
        <w:rPr>
          <w:lang w:val="en-US"/>
        </w:rPr>
        <w:t>Commuters’ exposure to particulate matter air pollution is affected by mode of transport, fuel type, and route. </w:t>
      </w:r>
      <w:r w:rsidRPr="00771A11">
        <w:rPr>
          <w:i/>
          <w:iCs/>
        </w:rPr>
        <w:t xml:space="preserve">Environmental </w:t>
      </w:r>
      <w:r w:rsidR="00AE4113">
        <w:rPr>
          <w:i/>
          <w:iCs/>
        </w:rPr>
        <w:t>Health P</w:t>
      </w:r>
      <w:r w:rsidRPr="00771A11">
        <w:rPr>
          <w:i/>
          <w:iCs/>
        </w:rPr>
        <w:t>erspectives</w:t>
      </w:r>
      <w:r w:rsidRPr="00771A11">
        <w:t>, </w:t>
      </w:r>
      <w:r w:rsidRPr="00771A11">
        <w:rPr>
          <w:i/>
          <w:iCs/>
        </w:rPr>
        <w:t>118</w:t>
      </w:r>
      <w:r w:rsidRPr="00771A11">
        <w:t>(6), 783.</w:t>
      </w:r>
    </w:p>
    <w:p w14:paraId="12DD4609" w14:textId="77777777" w:rsidR="00971AE7" w:rsidRDefault="00971AE7" w:rsidP="00901DF3">
      <w:pPr>
        <w:spacing w:line="480" w:lineRule="auto"/>
        <w:rPr>
          <w:bCs/>
        </w:rPr>
      </w:pPr>
    </w:p>
    <w:p w14:paraId="58729FCF" w14:textId="77777777" w:rsidR="00B428DF" w:rsidRDefault="00B428DF" w:rsidP="00901DF3">
      <w:pPr>
        <w:spacing w:line="480" w:lineRule="auto"/>
        <w:rPr>
          <w:bCs/>
        </w:rPr>
      </w:pPr>
    </w:p>
    <w:p w14:paraId="4069B31F" w14:textId="77777777" w:rsidR="00B428DF" w:rsidRDefault="00B428DF" w:rsidP="00901DF3">
      <w:pPr>
        <w:spacing w:line="480" w:lineRule="auto"/>
        <w:rPr>
          <w:bCs/>
        </w:rPr>
      </w:pPr>
    </w:p>
    <w:p w14:paraId="32098DD2" w14:textId="77777777" w:rsidR="00B428DF" w:rsidRDefault="00B428DF" w:rsidP="00901DF3">
      <w:pPr>
        <w:spacing w:line="480" w:lineRule="auto"/>
        <w:rPr>
          <w:bCs/>
        </w:rPr>
      </w:pPr>
    </w:p>
    <w:p w14:paraId="339277CC" w14:textId="77777777" w:rsidR="00B428DF" w:rsidRDefault="00B428DF" w:rsidP="00901DF3">
      <w:pPr>
        <w:spacing w:line="480" w:lineRule="auto"/>
        <w:rPr>
          <w:bCs/>
        </w:rPr>
      </w:pPr>
    </w:p>
    <w:p w14:paraId="150AA407" w14:textId="77777777" w:rsidR="00B428DF" w:rsidRDefault="00B428DF" w:rsidP="00901DF3">
      <w:pPr>
        <w:spacing w:line="480" w:lineRule="auto"/>
        <w:rPr>
          <w:bCs/>
        </w:rPr>
      </w:pPr>
    </w:p>
    <w:p w14:paraId="749C257E" w14:textId="77777777" w:rsidR="00B428DF" w:rsidRDefault="00B428DF" w:rsidP="00901DF3">
      <w:pPr>
        <w:spacing w:line="480" w:lineRule="auto"/>
        <w:rPr>
          <w:bCs/>
        </w:rPr>
      </w:pPr>
    </w:p>
    <w:p w14:paraId="6830479B" w14:textId="77777777" w:rsidR="00B428DF" w:rsidRDefault="00B428DF" w:rsidP="00901DF3">
      <w:pPr>
        <w:spacing w:line="480" w:lineRule="auto"/>
        <w:rPr>
          <w:bCs/>
        </w:rPr>
      </w:pPr>
    </w:p>
    <w:p w14:paraId="1E87DBA4" w14:textId="77777777" w:rsidR="00B428DF" w:rsidRPr="000F0625" w:rsidRDefault="00B428DF" w:rsidP="00B428DF">
      <w:pPr>
        <w:spacing w:line="480" w:lineRule="auto"/>
        <w:rPr>
          <w:b/>
          <w:bCs/>
        </w:rPr>
      </w:pPr>
      <w:r w:rsidRPr="000F0625">
        <w:rPr>
          <w:b/>
          <w:bCs/>
        </w:rPr>
        <w:lastRenderedPageBreak/>
        <w:t>Annex – Calculations</w:t>
      </w:r>
    </w:p>
    <w:p w14:paraId="5D01E590" w14:textId="77777777" w:rsidR="00B428DF" w:rsidRPr="00ED5046" w:rsidRDefault="00B428DF" w:rsidP="00B428DF">
      <w:pPr>
        <w:spacing w:line="480" w:lineRule="auto"/>
        <w:jc w:val="both"/>
        <w:rPr>
          <w:bCs/>
        </w:rPr>
      </w:pPr>
    </w:p>
    <w:p w14:paraId="2CD0ADFD"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Climate change</w:t>
      </w:r>
    </w:p>
    <w:p w14:paraId="5CAF933B" w14:textId="77777777" w:rsidR="00B428DF" w:rsidRPr="000F0625" w:rsidRDefault="00B428DF" w:rsidP="00B428DF">
      <w:pPr>
        <w:spacing w:line="480" w:lineRule="auto"/>
        <w:jc w:val="both"/>
      </w:pPr>
      <w:r w:rsidRPr="000F0625">
        <w:t>Costs of mitigation have been estimated at €10-40/tCO</w:t>
      </w:r>
      <w:r w:rsidRPr="000F0625">
        <w:rPr>
          <w:vertAlign w:val="subscript"/>
        </w:rPr>
        <w:t>2</w:t>
      </w:r>
      <w:r w:rsidRPr="000F0625">
        <w:t>eq (EC</w:t>
      </w:r>
      <w:r>
        <w:t>,</w:t>
      </w:r>
      <w:r w:rsidRPr="000F0625">
        <w:t xml:space="preserve"> 2014; see also Becker et al.</w:t>
      </w:r>
      <w:r>
        <w:t>,</w:t>
      </w:r>
      <w:r w:rsidRPr="000F0625">
        <w:t xml:space="preserve"> 2012; EPA</w:t>
      </w:r>
      <w:r>
        <w:t>,</w:t>
      </w:r>
      <w:r w:rsidRPr="000F0625">
        <w:t xml:space="preserve"> 2010), and up to more than €85/t CO</w:t>
      </w:r>
      <w:r w:rsidRPr="000F0625">
        <w:rPr>
          <w:vertAlign w:val="subscript"/>
        </w:rPr>
        <w:t>2</w:t>
      </w:r>
      <w:r>
        <w:t>eq</w:t>
      </w:r>
      <w:r w:rsidRPr="000F0625">
        <w:t xml:space="preserve"> for electric vehicles and aviation (</w:t>
      </w:r>
      <w:r>
        <w:t>IPCC,</w:t>
      </w:r>
      <w:r w:rsidRPr="000F0625">
        <w:t xml:space="preserve"> 2014). More recently, Rockström et al. (2017) suggest</w:t>
      </w:r>
      <w:r>
        <w:t>ed</w:t>
      </w:r>
      <w:r w:rsidRPr="000F0625">
        <w:t xml:space="preserve"> a “floor price” of €42.5/tCO</w:t>
      </w:r>
      <w:r w:rsidRPr="000F0625">
        <w:rPr>
          <w:vertAlign w:val="subscript"/>
        </w:rPr>
        <w:t>2</w:t>
      </w:r>
      <w:r w:rsidRPr="000F0625">
        <w:t>, rising to €340/tCO</w:t>
      </w:r>
      <w:r w:rsidRPr="000F0625">
        <w:rPr>
          <w:vertAlign w:val="subscript"/>
        </w:rPr>
        <w:t>2</w:t>
      </w:r>
      <w:r w:rsidRPr="000F0625">
        <w:t xml:space="preserve"> by 2050. Korzhenevych et al. (2014) propose a €</w:t>
      </w:r>
      <w:r w:rsidRPr="000F0625">
        <w:rPr>
          <w:vertAlign w:val="subscript"/>
        </w:rPr>
        <w:t>2017</w:t>
      </w:r>
      <w:r w:rsidRPr="000F0625">
        <w:t>98/tCO</w:t>
      </w:r>
      <w:r w:rsidRPr="000F0625">
        <w:rPr>
          <w:vertAlign w:val="subscript"/>
        </w:rPr>
        <w:t>2</w:t>
      </w:r>
      <w:r w:rsidRPr="000F0625">
        <w:t>-equivalent for the EU, including CH</w:t>
      </w:r>
      <w:r w:rsidRPr="000F0625">
        <w:rPr>
          <w:vertAlign w:val="subscript"/>
        </w:rPr>
        <w:t>4</w:t>
      </w:r>
      <w:r w:rsidRPr="000F0625">
        <w:t xml:space="preserve"> and N</w:t>
      </w:r>
      <w:r w:rsidRPr="000F0625">
        <w:rPr>
          <w:vertAlign w:val="subscript"/>
        </w:rPr>
        <w:t>2</w:t>
      </w:r>
      <w:r w:rsidRPr="000F0625">
        <w:t>O warming effects, representing an averaged abatement cost of €</w:t>
      </w:r>
      <w:r w:rsidRPr="000F0625">
        <w:rPr>
          <w:vertAlign w:val="subscript"/>
        </w:rPr>
        <w:t>2017</w:t>
      </w:r>
      <w:r w:rsidRPr="000F0625">
        <w:t>0.011/pkm at averaged emissions of 0.168kgCO</w:t>
      </w:r>
      <w:r w:rsidRPr="000F0625">
        <w:rPr>
          <w:vertAlign w:val="subscript"/>
        </w:rPr>
        <w:t>2</w:t>
      </w:r>
      <w:r w:rsidRPr="000F0625">
        <w:t>/vkm in Europe (Fontaras et al. 2017), equivalent to 0.112kgCO</w:t>
      </w:r>
      <w:r w:rsidRPr="000F0625">
        <w:rPr>
          <w:vertAlign w:val="subscript"/>
        </w:rPr>
        <w:t>2</w:t>
      </w:r>
      <w:r w:rsidRPr="000F0625">
        <w:t xml:space="preserve">/pkm at an average load factor of 1.5 passengers/vehicle (UBA 2010). </w:t>
      </w:r>
    </w:p>
    <w:p w14:paraId="56B033D8" w14:textId="77777777" w:rsidR="00B428DF" w:rsidRPr="000F0625" w:rsidRDefault="00B428DF" w:rsidP="00B428DF">
      <w:pPr>
        <w:spacing w:line="480" w:lineRule="auto"/>
        <w:jc w:val="both"/>
      </w:pPr>
    </w:p>
    <w:p w14:paraId="40C1D783" w14:textId="77777777" w:rsidR="00B428DF" w:rsidRPr="000F0625" w:rsidRDefault="00B428DF" w:rsidP="00B428DF">
      <w:pPr>
        <w:spacing w:line="480" w:lineRule="auto"/>
        <w:jc w:val="both"/>
      </w:pPr>
      <w:r w:rsidRPr="000F0625">
        <w:t>Transportation receives 27% of energy subsidies, estimated at €</w:t>
      </w:r>
      <w:r w:rsidRPr="000F0625">
        <w:rPr>
          <w:vertAlign w:val="subscript"/>
        </w:rPr>
        <w:t>2017</w:t>
      </w:r>
      <w:r w:rsidRPr="000F0625">
        <w:t>500 billion/year (based on Coady et al.</w:t>
      </w:r>
      <w:r>
        <w:t>,</w:t>
      </w:r>
      <w:r w:rsidRPr="000F0625">
        <w:t xml:space="preserve"> 2017), calculated proportionally to its share in energy use/emissions. On the basis of this estimate, transport is subsidized with some €</w:t>
      </w:r>
      <w:r w:rsidRPr="000F0625">
        <w:rPr>
          <w:vertAlign w:val="subscript"/>
        </w:rPr>
        <w:t>2017</w:t>
      </w:r>
      <w:r w:rsidRPr="000F0625">
        <w:t>135 billion per year. As 46% of all transportation energy use falls on passenger road travel</w:t>
      </w:r>
      <w:r>
        <w:t xml:space="preserve"> (light duty vehicles; IEA, 2017</w:t>
      </w:r>
      <w:r w:rsidRPr="000F0625">
        <w:t>), the share of subsidies forwarded to cars may be in the order of €</w:t>
      </w:r>
      <w:r w:rsidRPr="000F0625">
        <w:rPr>
          <w:vertAlign w:val="subscript"/>
        </w:rPr>
        <w:t>2017</w:t>
      </w:r>
      <w:r w:rsidRPr="000F0625">
        <w:t>62 billion, or €</w:t>
      </w:r>
      <w:r w:rsidRPr="000F0625">
        <w:rPr>
          <w:vertAlign w:val="subscript"/>
        </w:rPr>
        <w:t>2017</w:t>
      </w:r>
      <w:r w:rsidRPr="000F0625">
        <w:t xml:space="preserve">0.003 per </w:t>
      </w:r>
      <w:r>
        <w:t>p</w:t>
      </w:r>
      <w:r w:rsidRPr="000F0625">
        <w:t xml:space="preserve">km </w:t>
      </w:r>
      <w:r>
        <w:t>if considering</w:t>
      </w:r>
      <w:r w:rsidRPr="000F0625">
        <w:t xml:space="preserve"> 22.5 trillion pkm travelled with light duty vehicles. </w:t>
      </w:r>
    </w:p>
    <w:p w14:paraId="67758199" w14:textId="77777777" w:rsidR="00B428DF" w:rsidRPr="000F0625" w:rsidRDefault="00B428DF" w:rsidP="00B428DF">
      <w:pPr>
        <w:spacing w:line="480" w:lineRule="auto"/>
        <w:jc w:val="both"/>
      </w:pPr>
    </w:p>
    <w:p w14:paraId="21F9AF96" w14:textId="77777777" w:rsidR="00B428DF" w:rsidRPr="000F0625" w:rsidRDefault="00B428DF" w:rsidP="00B428DF">
      <w:pPr>
        <w:spacing w:line="480" w:lineRule="auto"/>
        <w:jc w:val="both"/>
      </w:pPr>
      <w:r w:rsidRPr="000F0625">
        <w:t>In total, the climate change cost of car travel is about €</w:t>
      </w:r>
      <w:r w:rsidRPr="000F0625">
        <w:rPr>
          <w:vertAlign w:val="subscript"/>
        </w:rPr>
        <w:t>2017</w:t>
      </w:r>
      <w:r w:rsidRPr="000F0625">
        <w:t xml:space="preserve">0.014 per pkm (Table 2). This estimate does not include the lifecycle cost of manufacturing and scrappage of cars (see Resource requirements), and increases over time. In comparison to the climate change cost of cars, cycling and walking do not incur </w:t>
      </w:r>
      <w:r>
        <w:t xml:space="preserve">a </w:t>
      </w:r>
      <w:r w:rsidRPr="000F0625">
        <w:t>significant climate change or subsidy cost (</w:t>
      </w:r>
      <w:r>
        <w:t>Litman  Doherty 2011</w:t>
      </w:r>
      <w:r w:rsidRPr="000F0625">
        <w:t>).</w:t>
      </w:r>
    </w:p>
    <w:p w14:paraId="02D1E1A4" w14:textId="77777777" w:rsidR="00B428DF" w:rsidRPr="000F0625" w:rsidRDefault="00B428DF" w:rsidP="00B428DF">
      <w:pPr>
        <w:spacing w:line="480" w:lineRule="auto"/>
        <w:rPr>
          <w:b/>
          <w:bCs/>
        </w:rPr>
      </w:pPr>
    </w:p>
    <w:p w14:paraId="48CA0361" w14:textId="77777777" w:rsidR="00B428DF" w:rsidRPr="000F0625" w:rsidRDefault="00B428DF" w:rsidP="00B428DF">
      <w:pPr>
        <w:spacing w:line="480" w:lineRule="auto"/>
        <w:jc w:val="both"/>
        <w:outlineLvl w:val="0"/>
        <w:rPr>
          <w:b/>
        </w:rPr>
      </w:pPr>
      <w:r w:rsidRPr="000F0625">
        <w:rPr>
          <w:b/>
        </w:rPr>
        <w:lastRenderedPageBreak/>
        <w:t xml:space="preserve">Table 2: Cost assessment of climate change and fossil fuel subsidies </w:t>
      </w:r>
    </w:p>
    <w:tbl>
      <w:tblPr>
        <w:tblStyle w:val="Tabelraster"/>
        <w:tblW w:w="9518" w:type="dxa"/>
        <w:tblLook w:val="04A0" w:firstRow="1" w:lastRow="0" w:firstColumn="1" w:lastColumn="0" w:noHBand="0" w:noVBand="1"/>
      </w:tblPr>
      <w:tblGrid>
        <w:gridCol w:w="2410"/>
        <w:gridCol w:w="1678"/>
        <w:gridCol w:w="1376"/>
        <w:gridCol w:w="4054"/>
      </w:tblGrid>
      <w:tr w:rsidR="00B428DF" w:rsidRPr="000F0625" w14:paraId="53CBD222" w14:textId="77777777" w:rsidTr="00080905">
        <w:tc>
          <w:tcPr>
            <w:tcW w:w="2410" w:type="dxa"/>
          </w:tcPr>
          <w:p w14:paraId="08F07FEE" w14:textId="77777777" w:rsidR="00B428DF" w:rsidRPr="000F0625" w:rsidRDefault="00B428DF" w:rsidP="00080905">
            <w:pPr>
              <w:spacing w:line="480" w:lineRule="auto"/>
              <w:jc w:val="both"/>
              <w:rPr>
                <w:b/>
                <w:lang w:val="en-GB"/>
              </w:rPr>
            </w:pPr>
            <w:r w:rsidRPr="000F0625">
              <w:rPr>
                <w:b/>
                <w:lang w:val="en-GB"/>
              </w:rPr>
              <w:t>Assessment Cars</w:t>
            </w:r>
          </w:p>
        </w:tc>
        <w:tc>
          <w:tcPr>
            <w:tcW w:w="1678" w:type="dxa"/>
          </w:tcPr>
          <w:p w14:paraId="0D686FDB" w14:textId="77777777" w:rsidR="00B428DF" w:rsidRPr="000F0625" w:rsidRDefault="00B428DF" w:rsidP="00080905">
            <w:pPr>
              <w:spacing w:line="480" w:lineRule="auto"/>
              <w:jc w:val="both"/>
              <w:rPr>
                <w:b/>
                <w:lang w:val="en-GB"/>
              </w:rPr>
            </w:pPr>
            <w:r w:rsidRPr="000F0625">
              <w:rPr>
                <w:b/>
                <w:lang w:val="en-GB"/>
              </w:rPr>
              <w:t xml:space="preserve">Cost </w:t>
            </w:r>
            <w:r>
              <w:rPr>
                <w:b/>
                <w:lang w:val="en-GB"/>
              </w:rPr>
              <w:t>external</w:t>
            </w:r>
          </w:p>
        </w:tc>
        <w:tc>
          <w:tcPr>
            <w:tcW w:w="1376" w:type="dxa"/>
          </w:tcPr>
          <w:p w14:paraId="7A97E658" w14:textId="77777777" w:rsidR="00B428DF" w:rsidRPr="000F0625" w:rsidRDefault="00B428DF" w:rsidP="00080905">
            <w:pPr>
              <w:spacing w:line="480" w:lineRule="auto"/>
              <w:jc w:val="both"/>
              <w:rPr>
                <w:b/>
                <w:lang w:val="en-GB"/>
              </w:rPr>
            </w:pPr>
            <w:r w:rsidRPr="000F0625">
              <w:rPr>
                <w:b/>
                <w:lang w:val="en-GB"/>
              </w:rPr>
              <w:t>Cost private</w:t>
            </w:r>
          </w:p>
        </w:tc>
        <w:tc>
          <w:tcPr>
            <w:tcW w:w="4054" w:type="dxa"/>
          </w:tcPr>
          <w:p w14:paraId="306CAA3E"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02A7F45E" w14:textId="77777777" w:rsidTr="00080905">
        <w:trPr>
          <w:trHeight w:val="283"/>
        </w:trPr>
        <w:tc>
          <w:tcPr>
            <w:tcW w:w="2410" w:type="dxa"/>
          </w:tcPr>
          <w:p w14:paraId="4D493260" w14:textId="77777777" w:rsidR="00B428DF" w:rsidRPr="000F0625" w:rsidRDefault="00B428DF" w:rsidP="00080905">
            <w:pPr>
              <w:spacing w:line="480" w:lineRule="auto"/>
              <w:jc w:val="both"/>
              <w:rPr>
                <w:lang w:val="en-GB"/>
              </w:rPr>
            </w:pPr>
            <w:r>
              <w:rPr>
                <w:lang w:val="en-GB"/>
              </w:rPr>
              <w:t>External</w:t>
            </w:r>
            <w:r w:rsidRPr="000F0625">
              <w:rPr>
                <w:lang w:val="en-GB"/>
              </w:rPr>
              <w:t xml:space="preserve"> cost of CO</w:t>
            </w:r>
            <w:r w:rsidRPr="000F0625">
              <w:rPr>
                <w:vertAlign w:val="subscript"/>
                <w:lang w:val="en-GB"/>
              </w:rPr>
              <w:t>2</w:t>
            </w:r>
          </w:p>
        </w:tc>
        <w:tc>
          <w:tcPr>
            <w:tcW w:w="1678" w:type="dxa"/>
          </w:tcPr>
          <w:p w14:paraId="0C1E666B"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0.011/pkm</w:t>
            </w:r>
          </w:p>
        </w:tc>
        <w:tc>
          <w:tcPr>
            <w:tcW w:w="1376" w:type="dxa"/>
          </w:tcPr>
          <w:p w14:paraId="054BCCAC" w14:textId="77777777" w:rsidR="00B428DF" w:rsidRPr="000F0625" w:rsidRDefault="00B428DF" w:rsidP="00080905">
            <w:pPr>
              <w:spacing w:line="480" w:lineRule="auto"/>
              <w:jc w:val="right"/>
              <w:rPr>
                <w:lang w:val="en-GB"/>
              </w:rPr>
            </w:pPr>
            <w:r w:rsidRPr="000F0625">
              <w:rPr>
                <w:lang w:val="en-GB"/>
              </w:rPr>
              <w:t>0</w:t>
            </w:r>
          </w:p>
        </w:tc>
        <w:tc>
          <w:tcPr>
            <w:tcW w:w="4054" w:type="dxa"/>
          </w:tcPr>
          <w:p w14:paraId="47F7A5FF" w14:textId="77777777" w:rsidR="00B428DF" w:rsidRPr="000F0625" w:rsidRDefault="00B428DF" w:rsidP="00080905">
            <w:pPr>
              <w:spacing w:line="480" w:lineRule="auto"/>
              <w:jc w:val="both"/>
              <w:rPr>
                <w:lang w:val="en-GB"/>
              </w:rPr>
            </w:pPr>
            <w:r w:rsidRPr="000F0625">
              <w:rPr>
                <w:lang w:val="en-GB"/>
              </w:rPr>
              <w:t xml:space="preserve">Korzhenevych et al. 2014; </w:t>
            </w:r>
            <w:r w:rsidRPr="002A32DD">
              <w:rPr>
                <w:lang w:val="en-US"/>
              </w:rPr>
              <w:t>Litman and Doherty</w:t>
            </w:r>
            <w:r>
              <w:rPr>
                <w:lang w:val="en-US"/>
              </w:rPr>
              <w:t xml:space="preserve"> </w:t>
            </w:r>
            <w:r w:rsidRPr="002A32DD">
              <w:rPr>
                <w:lang w:val="en-US"/>
              </w:rPr>
              <w:t>2011</w:t>
            </w:r>
          </w:p>
        </w:tc>
      </w:tr>
      <w:tr w:rsidR="00B428DF" w:rsidRPr="000F0625" w14:paraId="6740A908" w14:textId="77777777" w:rsidTr="00080905">
        <w:trPr>
          <w:trHeight w:val="283"/>
        </w:trPr>
        <w:tc>
          <w:tcPr>
            <w:tcW w:w="2410" w:type="dxa"/>
          </w:tcPr>
          <w:p w14:paraId="00566DA1" w14:textId="77777777" w:rsidR="00B428DF" w:rsidRPr="000F0625" w:rsidRDefault="00B428DF" w:rsidP="00080905">
            <w:pPr>
              <w:spacing w:line="480" w:lineRule="auto"/>
              <w:jc w:val="both"/>
              <w:rPr>
                <w:lang w:val="en-GB"/>
              </w:rPr>
            </w:pPr>
            <w:r w:rsidRPr="000F0625">
              <w:rPr>
                <w:lang w:val="en-GB"/>
              </w:rPr>
              <w:t xml:space="preserve">Fossil fuel subsidies </w:t>
            </w:r>
          </w:p>
        </w:tc>
        <w:tc>
          <w:tcPr>
            <w:tcW w:w="1678" w:type="dxa"/>
          </w:tcPr>
          <w:p w14:paraId="0EB864CD"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 xml:space="preserve">0.003/pkm </w:t>
            </w:r>
          </w:p>
        </w:tc>
        <w:tc>
          <w:tcPr>
            <w:tcW w:w="1376" w:type="dxa"/>
          </w:tcPr>
          <w:p w14:paraId="52FFD67F" w14:textId="77777777" w:rsidR="00B428DF" w:rsidRPr="000F0625" w:rsidRDefault="00B428DF" w:rsidP="00080905">
            <w:pPr>
              <w:spacing w:line="480" w:lineRule="auto"/>
              <w:jc w:val="right"/>
              <w:rPr>
                <w:lang w:val="en-GB"/>
              </w:rPr>
            </w:pPr>
            <w:r w:rsidRPr="000F0625">
              <w:rPr>
                <w:lang w:val="en-GB"/>
              </w:rPr>
              <w:t>0</w:t>
            </w:r>
          </w:p>
        </w:tc>
        <w:tc>
          <w:tcPr>
            <w:tcW w:w="4054" w:type="dxa"/>
          </w:tcPr>
          <w:p w14:paraId="3BD4A166" w14:textId="77777777" w:rsidR="00B428DF" w:rsidRPr="000F0625" w:rsidRDefault="00B428DF" w:rsidP="00080905">
            <w:pPr>
              <w:spacing w:line="480" w:lineRule="auto"/>
              <w:jc w:val="both"/>
              <w:rPr>
                <w:lang w:val="en-GB"/>
              </w:rPr>
            </w:pPr>
            <w:r w:rsidRPr="000F0625">
              <w:rPr>
                <w:lang w:val="en-GB"/>
              </w:rPr>
              <w:t>Coady et al. 2017</w:t>
            </w:r>
          </w:p>
        </w:tc>
      </w:tr>
      <w:tr w:rsidR="00B428DF" w:rsidRPr="000F0625" w14:paraId="3D03CA69" w14:textId="77777777" w:rsidTr="00080905">
        <w:tc>
          <w:tcPr>
            <w:tcW w:w="2410" w:type="dxa"/>
          </w:tcPr>
          <w:p w14:paraId="36A19616" w14:textId="77777777" w:rsidR="00B428DF" w:rsidRPr="000F0625" w:rsidRDefault="00B428DF" w:rsidP="00080905">
            <w:pPr>
              <w:spacing w:line="480" w:lineRule="auto"/>
              <w:jc w:val="both"/>
              <w:rPr>
                <w:b/>
                <w:lang w:val="en-GB"/>
              </w:rPr>
            </w:pPr>
            <w:r w:rsidRPr="000F0625">
              <w:rPr>
                <w:b/>
                <w:lang w:val="en-GB"/>
              </w:rPr>
              <w:t>Assessment Bicycles</w:t>
            </w:r>
          </w:p>
        </w:tc>
        <w:tc>
          <w:tcPr>
            <w:tcW w:w="1678" w:type="dxa"/>
          </w:tcPr>
          <w:p w14:paraId="70079F55" w14:textId="77777777" w:rsidR="00B428DF" w:rsidRPr="000F0625" w:rsidRDefault="00B428DF" w:rsidP="00080905">
            <w:pPr>
              <w:spacing w:line="480" w:lineRule="auto"/>
              <w:jc w:val="both"/>
              <w:rPr>
                <w:b/>
                <w:lang w:val="en-GB"/>
              </w:rPr>
            </w:pPr>
            <w:r w:rsidRPr="000F0625">
              <w:rPr>
                <w:b/>
                <w:lang w:val="en-GB"/>
              </w:rPr>
              <w:t>Cost</w:t>
            </w:r>
          </w:p>
        </w:tc>
        <w:tc>
          <w:tcPr>
            <w:tcW w:w="1376" w:type="dxa"/>
          </w:tcPr>
          <w:p w14:paraId="6F787BCF" w14:textId="77777777" w:rsidR="00B428DF" w:rsidRPr="000F0625" w:rsidRDefault="00B428DF" w:rsidP="00080905">
            <w:pPr>
              <w:spacing w:line="480" w:lineRule="auto"/>
              <w:jc w:val="right"/>
              <w:rPr>
                <w:b/>
                <w:lang w:val="en-GB"/>
              </w:rPr>
            </w:pPr>
          </w:p>
        </w:tc>
        <w:tc>
          <w:tcPr>
            <w:tcW w:w="4054" w:type="dxa"/>
          </w:tcPr>
          <w:p w14:paraId="7C329ED2"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248C4419" w14:textId="77777777" w:rsidTr="00080905">
        <w:trPr>
          <w:trHeight w:val="208"/>
        </w:trPr>
        <w:tc>
          <w:tcPr>
            <w:tcW w:w="2410" w:type="dxa"/>
          </w:tcPr>
          <w:p w14:paraId="5578FC2E" w14:textId="77777777" w:rsidR="00B428DF" w:rsidRPr="000F0625" w:rsidRDefault="00B428DF" w:rsidP="00080905">
            <w:pPr>
              <w:spacing w:line="480" w:lineRule="auto"/>
              <w:jc w:val="both"/>
              <w:rPr>
                <w:lang w:val="en-GB"/>
              </w:rPr>
            </w:pPr>
            <w:r>
              <w:rPr>
                <w:lang w:val="en-GB"/>
              </w:rPr>
              <w:t>External</w:t>
            </w:r>
            <w:r w:rsidRPr="000F0625">
              <w:rPr>
                <w:lang w:val="en-GB"/>
              </w:rPr>
              <w:t xml:space="preserve"> cost of CO</w:t>
            </w:r>
            <w:r w:rsidRPr="000F0625">
              <w:rPr>
                <w:vertAlign w:val="subscript"/>
                <w:lang w:val="en-GB"/>
              </w:rPr>
              <w:t>2</w:t>
            </w:r>
          </w:p>
        </w:tc>
        <w:tc>
          <w:tcPr>
            <w:tcW w:w="1678" w:type="dxa"/>
          </w:tcPr>
          <w:p w14:paraId="1D6F48FB" w14:textId="77777777" w:rsidR="00B428DF" w:rsidRPr="000F0625" w:rsidRDefault="00B428DF" w:rsidP="00080905">
            <w:pPr>
              <w:spacing w:line="480" w:lineRule="auto"/>
              <w:jc w:val="right"/>
              <w:rPr>
                <w:lang w:val="en-GB"/>
              </w:rPr>
            </w:pPr>
            <w:r w:rsidRPr="000F0625">
              <w:rPr>
                <w:lang w:val="en-GB"/>
              </w:rPr>
              <w:t>0</w:t>
            </w:r>
          </w:p>
        </w:tc>
        <w:tc>
          <w:tcPr>
            <w:tcW w:w="1376" w:type="dxa"/>
          </w:tcPr>
          <w:p w14:paraId="514F779C" w14:textId="77777777" w:rsidR="00B428DF" w:rsidRPr="000F0625" w:rsidRDefault="00B428DF" w:rsidP="00080905">
            <w:pPr>
              <w:spacing w:line="480" w:lineRule="auto"/>
              <w:jc w:val="right"/>
              <w:rPr>
                <w:lang w:val="en-GB"/>
              </w:rPr>
            </w:pPr>
            <w:r w:rsidRPr="000F0625">
              <w:rPr>
                <w:lang w:val="en-GB"/>
              </w:rPr>
              <w:t>0</w:t>
            </w:r>
          </w:p>
        </w:tc>
        <w:tc>
          <w:tcPr>
            <w:tcW w:w="4054" w:type="dxa"/>
          </w:tcPr>
          <w:p w14:paraId="70AC7EE0" w14:textId="77777777" w:rsidR="00B428DF" w:rsidRPr="000F0625" w:rsidRDefault="00B428DF" w:rsidP="00080905">
            <w:pPr>
              <w:spacing w:line="480" w:lineRule="auto"/>
              <w:jc w:val="both"/>
              <w:rPr>
                <w:lang w:val="en-GB"/>
              </w:rPr>
            </w:pPr>
            <w:r>
              <w:t>Litman and Doherty 2011</w:t>
            </w:r>
          </w:p>
        </w:tc>
      </w:tr>
      <w:tr w:rsidR="00B428DF" w:rsidRPr="000F0625" w14:paraId="5CF69CB7" w14:textId="77777777" w:rsidTr="00080905">
        <w:trPr>
          <w:trHeight w:val="250"/>
        </w:trPr>
        <w:tc>
          <w:tcPr>
            <w:tcW w:w="2410" w:type="dxa"/>
          </w:tcPr>
          <w:p w14:paraId="341D3C23" w14:textId="77777777" w:rsidR="00B428DF" w:rsidRPr="000F0625" w:rsidRDefault="00B428DF" w:rsidP="00080905">
            <w:pPr>
              <w:spacing w:line="480" w:lineRule="auto"/>
              <w:jc w:val="both"/>
              <w:rPr>
                <w:lang w:val="en-GB"/>
              </w:rPr>
            </w:pPr>
            <w:r w:rsidRPr="000F0625">
              <w:rPr>
                <w:lang w:val="en-GB"/>
              </w:rPr>
              <w:t>Fossil fuel subsidies</w:t>
            </w:r>
          </w:p>
        </w:tc>
        <w:tc>
          <w:tcPr>
            <w:tcW w:w="1678" w:type="dxa"/>
          </w:tcPr>
          <w:p w14:paraId="6098E860" w14:textId="77777777" w:rsidR="00B428DF" w:rsidRPr="000F0625" w:rsidRDefault="00B428DF" w:rsidP="00080905">
            <w:pPr>
              <w:spacing w:line="480" w:lineRule="auto"/>
              <w:jc w:val="right"/>
              <w:rPr>
                <w:lang w:val="en-GB"/>
              </w:rPr>
            </w:pPr>
            <w:r w:rsidRPr="000F0625">
              <w:rPr>
                <w:lang w:val="en-GB"/>
              </w:rPr>
              <w:t>0</w:t>
            </w:r>
          </w:p>
        </w:tc>
        <w:tc>
          <w:tcPr>
            <w:tcW w:w="1376" w:type="dxa"/>
          </w:tcPr>
          <w:p w14:paraId="651786A9" w14:textId="77777777" w:rsidR="00B428DF" w:rsidRPr="000F0625" w:rsidRDefault="00B428DF" w:rsidP="00080905">
            <w:pPr>
              <w:spacing w:line="480" w:lineRule="auto"/>
              <w:jc w:val="right"/>
              <w:rPr>
                <w:lang w:val="en-GB"/>
              </w:rPr>
            </w:pPr>
            <w:r w:rsidRPr="000F0625">
              <w:rPr>
                <w:lang w:val="en-GB"/>
              </w:rPr>
              <w:t>0</w:t>
            </w:r>
          </w:p>
        </w:tc>
        <w:tc>
          <w:tcPr>
            <w:tcW w:w="4054" w:type="dxa"/>
          </w:tcPr>
          <w:p w14:paraId="5295EECA" w14:textId="77777777" w:rsidR="00B428DF" w:rsidRPr="000F0625" w:rsidRDefault="00B428DF" w:rsidP="00080905">
            <w:pPr>
              <w:spacing w:line="480" w:lineRule="auto"/>
              <w:jc w:val="both"/>
              <w:rPr>
                <w:lang w:val="en-GB"/>
              </w:rPr>
            </w:pPr>
            <w:r w:rsidRPr="000F0625">
              <w:rPr>
                <w:lang w:val="en-GB"/>
              </w:rPr>
              <w:t>Coady et al. 2017</w:t>
            </w:r>
          </w:p>
        </w:tc>
      </w:tr>
      <w:tr w:rsidR="00B428DF" w:rsidRPr="000F0625" w14:paraId="1F308350" w14:textId="77777777" w:rsidTr="00080905">
        <w:tc>
          <w:tcPr>
            <w:tcW w:w="2410" w:type="dxa"/>
          </w:tcPr>
          <w:p w14:paraId="7BE6F071" w14:textId="77777777" w:rsidR="00B428DF" w:rsidRPr="000F0625" w:rsidRDefault="00B428DF" w:rsidP="00080905">
            <w:pPr>
              <w:spacing w:line="480" w:lineRule="auto"/>
              <w:jc w:val="both"/>
              <w:rPr>
                <w:b/>
                <w:lang w:val="en-GB"/>
              </w:rPr>
            </w:pPr>
            <w:r w:rsidRPr="000F0625">
              <w:rPr>
                <w:b/>
                <w:lang w:val="en-GB"/>
              </w:rPr>
              <w:t>Assessment Walking</w:t>
            </w:r>
          </w:p>
        </w:tc>
        <w:tc>
          <w:tcPr>
            <w:tcW w:w="1678" w:type="dxa"/>
          </w:tcPr>
          <w:p w14:paraId="65A328B1" w14:textId="77777777" w:rsidR="00B428DF" w:rsidRPr="000F0625" w:rsidRDefault="00B428DF" w:rsidP="00080905">
            <w:pPr>
              <w:spacing w:line="480" w:lineRule="auto"/>
              <w:jc w:val="both"/>
              <w:rPr>
                <w:b/>
                <w:lang w:val="en-GB"/>
              </w:rPr>
            </w:pPr>
            <w:r w:rsidRPr="000F0625">
              <w:rPr>
                <w:b/>
                <w:lang w:val="en-GB"/>
              </w:rPr>
              <w:t>Cost</w:t>
            </w:r>
          </w:p>
        </w:tc>
        <w:tc>
          <w:tcPr>
            <w:tcW w:w="1376" w:type="dxa"/>
          </w:tcPr>
          <w:p w14:paraId="3F5D0211" w14:textId="77777777" w:rsidR="00B428DF" w:rsidRPr="000F0625" w:rsidRDefault="00B428DF" w:rsidP="00080905">
            <w:pPr>
              <w:spacing w:line="480" w:lineRule="auto"/>
              <w:jc w:val="right"/>
              <w:rPr>
                <w:b/>
                <w:lang w:val="en-GB"/>
              </w:rPr>
            </w:pPr>
          </w:p>
        </w:tc>
        <w:tc>
          <w:tcPr>
            <w:tcW w:w="4054" w:type="dxa"/>
          </w:tcPr>
          <w:p w14:paraId="6E251200"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0802E320" w14:textId="77777777" w:rsidTr="00080905">
        <w:trPr>
          <w:trHeight w:val="208"/>
        </w:trPr>
        <w:tc>
          <w:tcPr>
            <w:tcW w:w="2410" w:type="dxa"/>
          </w:tcPr>
          <w:p w14:paraId="232A4A8A" w14:textId="77777777" w:rsidR="00B428DF" w:rsidRPr="000F0625" w:rsidRDefault="00B428DF" w:rsidP="00080905">
            <w:pPr>
              <w:spacing w:line="480" w:lineRule="auto"/>
              <w:jc w:val="both"/>
              <w:rPr>
                <w:lang w:val="en-GB"/>
              </w:rPr>
            </w:pPr>
            <w:r>
              <w:rPr>
                <w:lang w:val="en-GB"/>
              </w:rPr>
              <w:t>External</w:t>
            </w:r>
            <w:r w:rsidRPr="000F0625">
              <w:rPr>
                <w:lang w:val="en-GB"/>
              </w:rPr>
              <w:t xml:space="preserve"> cost of CO</w:t>
            </w:r>
            <w:r w:rsidRPr="000F0625">
              <w:rPr>
                <w:vertAlign w:val="subscript"/>
                <w:lang w:val="en-GB"/>
              </w:rPr>
              <w:t>2</w:t>
            </w:r>
          </w:p>
        </w:tc>
        <w:tc>
          <w:tcPr>
            <w:tcW w:w="1678" w:type="dxa"/>
          </w:tcPr>
          <w:p w14:paraId="287A45A2" w14:textId="77777777" w:rsidR="00B428DF" w:rsidRPr="000F0625" w:rsidRDefault="00B428DF" w:rsidP="00080905">
            <w:pPr>
              <w:spacing w:line="480" w:lineRule="auto"/>
              <w:jc w:val="right"/>
              <w:rPr>
                <w:lang w:val="en-GB"/>
              </w:rPr>
            </w:pPr>
            <w:r w:rsidRPr="000F0625">
              <w:rPr>
                <w:lang w:val="en-GB"/>
              </w:rPr>
              <w:t>0</w:t>
            </w:r>
          </w:p>
        </w:tc>
        <w:tc>
          <w:tcPr>
            <w:tcW w:w="1376" w:type="dxa"/>
          </w:tcPr>
          <w:p w14:paraId="75CE25D9" w14:textId="77777777" w:rsidR="00B428DF" w:rsidRPr="000F0625" w:rsidRDefault="00B428DF" w:rsidP="00080905">
            <w:pPr>
              <w:spacing w:line="480" w:lineRule="auto"/>
              <w:jc w:val="right"/>
              <w:rPr>
                <w:lang w:val="en-GB"/>
              </w:rPr>
            </w:pPr>
            <w:r w:rsidRPr="000F0625">
              <w:rPr>
                <w:lang w:val="en-GB"/>
              </w:rPr>
              <w:t>0</w:t>
            </w:r>
          </w:p>
        </w:tc>
        <w:tc>
          <w:tcPr>
            <w:tcW w:w="4054" w:type="dxa"/>
          </w:tcPr>
          <w:p w14:paraId="008EF969" w14:textId="77777777" w:rsidR="00B428DF" w:rsidRPr="000F0625" w:rsidRDefault="00B428DF" w:rsidP="00080905">
            <w:pPr>
              <w:spacing w:line="480" w:lineRule="auto"/>
              <w:jc w:val="both"/>
              <w:rPr>
                <w:lang w:val="en-GB"/>
              </w:rPr>
            </w:pPr>
            <w:r>
              <w:t>Litman and Doherty 2011</w:t>
            </w:r>
          </w:p>
        </w:tc>
      </w:tr>
      <w:tr w:rsidR="00B428DF" w:rsidRPr="000F0625" w14:paraId="62AEDC09" w14:textId="77777777" w:rsidTr="00080905">
        <w:trPr>
          <w:trHeight w:val="208"/>
        </w:trPr>
        <w:tc>
          <w:tcPr>
            <w:tcW w:w="2410" w:type="dxa"/>
          </w:tcPr>
          <w:p w14:paraId="71CFFC05" w14:textId="77777777" w:rsidR="00B428DF" w:rsidRPr="000F0625" w:rsidRDefault="00B428DF" w:rsidP="00080905">
            <w:pPr>
              <w:spacing w:line="480" w:lineRule="auto"/>
              <w:jc w:val="both"/>
              <w:rPr>
                <w:lang w:val="en-GB"/>
              </w:rPr>
            </w:pPr>
            <w:r w:rsidRPr="000F0625">
              <w:rPr>
                <w:lang w:val="en-GB"/>
              </w:rPr>
              <w:t>Fossil fuel subsidies</w:t>
            </w:r>
          </w:p>
        </w:tc>
        <w:tc>
          <w:tcPr>
            <w:tcW w:w="1678" w:type="dxa"/>
          </w:tcPr>
          <w:p w14:paraId="53043667" w14:textId="77777777" w:rsidR="00B428DF" w:rsidRPr="000F0625" w:rsidRDefault="00B428DF" w:rsidP="00080905">
            <w:pPr>
              <w:spacing w:line="480" w:lineRule="auto"/>
              <w:jc w:val="right"/>
              <w:rPr>
                <w:lang w:val="en-GB"/>
              </w:rPr>
            </w:pPr>
            <w:r w:rsidRPr="000F0625">
              <w:rPr>
                <w:lang w:val="en-GB"/>
              </w:rPr>
              <w:t>0</w:t>
            </w:r>
          </w:p>
        </w:tc>
        <w:tc>
          <w:tcPr>
            <w:tcW w:w="1376" w:type="dxa"/>
          </w:tcPr>
          <w:p w14:paraId="63A7E2E9" w14:textId="77777777" w:rsidR="00B428DF" w:rsidRPr="000F0625" w:rsidRDefault="00B428DF" w:rsidP="00080905">
            <w:pPr>
              <w:spacing w:line="480" w:lineRule="auto"/>
              <w:jc w:val="right"/>
              <w:rPr>
                <w:lang w:val="en-GB"/>
              </w:rPr>
            </w:pPr>
            <w:r w:rsidRPr="000F0625">
              <w:rPr>
                <w:lang w:val="en-GB"/>
              </w:rPr>
              <w:t>0</w:t>
            </w:r>
          </w:p>
        </w:tc>
        <w:tc>
          <w:tcPr>
            <w:tcW w:w="4054" w:type="dxa"/>
          </w:tcPr>
          <w:p w14:paraId="3AB8E826" w14:textId="77777777" w:rsidR="00B428DF" w:rsidRPr="000F0625" w:rsidRDefault="00B428DF" w:rsidP="00080905">
            <w:pPr>
              <w:spacing w:line="480" w:lineRule="auto"/>
              <w:jc w:val="both"/>
              <w:rPr>
                <w:lang w:val="en-GB"/>
              </w:rPr>
            </w:pPr>
            <w:r w:rsidRPr="000F0625">
              <w:rPr>
                <w:lang w:val="en-GB"/>
              </w:rPr>
              <w:t>Coady et al. 2017</w:t>
            </w:r>
          </w:p>
        </w:tc>
      </w:tr>
    </w:tbl>
    <w:p w14:paraId="693C2420" w14:textId="77777777" w:rsidR="00B428DF" w:rsidRPr="000F0625" w:rsidRDefault="00B428DF" w:rsidP="00B428DF">
      <w:pPr>
        <w:spacing w:line="480" w:lineRule="auto"/>
        <w:jc w:val="both"/>
        <w:rPr>
          <w:sz w:val="20"/>
          <w:szCs w:val="20"/>
        </w:rPr>
      </w:pPr>
    </w:p>
    <w:p w14:paraId="4342DE2E" w14:textId="77777777" w:rsidR="00B428DF" w:rsidRPr="000F0625" w:rsidRDefault="00B428DF" w:rsidP="00B428DF">
      <w:pPr>
        <w:spacing w:line="480" w:lineRule="auto"/>
      </w:pPr>
    </w:p>
    <w:p w14:paraId="77525C88"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Air pollution</w:t>
      </w:r>
    </w:p>
    <w:p w14:paraId="2DB4B4BC" w14:textId="77777777" w:rsidR="00B428DF" w:rsidRPr="000F0625" w:rsidRDefault="00B428DF" w:rsidP="00B428DF">
      <w:pPr>
        <w:spacing w:line="480" w:lineRule="auto"/>
        <w:jc w:val="both"/>
      </w:pPr>
      <w:r>
        <w:t>An</w:t>
      </w:r>
      <w:r w:rsidRPr="000F0625">
        <w:t xml:space="preserve"> assessment by the Lancet Commission (2017) on pollution and health suggests that 16% of all deaths worldwide are related to pollution, corresponding to welfare losses of </w:t>
      </w:r>
      <w:r>
        <w:t>€3.91 trillion</w:t>
      </w:r>
      <w:r w:rsidRPr="000F0625">
        <w:t xml:space="preserve"> per year, or 6.2% of global economic output. In the European Union, it is estimated that the total health-related cost of air pollution ranged between €330-940 billion in 2010, including €15 billion from lost workdays. Air pollution also caused 436,000 premature deaths in the EU28 (in 2013; EEA 2016). While the Lancet Commission does not specify sector contributions, it is clear that transportation </w:t>
      </w:r>
      <w:r>
        <w:t>has central relevance.</w:t>
      </w:r>
      <w:r w:rsidRPr="000F0625">
        <w:t xml:space="preserve"> </w:t>
      </w:r>
    </w:p>
    <w:p w14:paraId="0886565C" w14:textId="77777777" w:rsidR="00B428DF" w:rsidRPr="000F0625" w:rsidRDefault="00B428DF" w:rsidP="00B428DF">
      <w:pPr>
        <w:spacing w:line="480" w:lineRule="auto"/>
        <w:jc w:val="both"/>
      </w:pPr>
    </w:p>
    <w:p w14:paraId="24ABB488" w14:textId="77777777" w:rsidR="00B428DF" w:rsidRPr="000F0625" w:rsidRDefault="00B428DF" w:rsidP="00B428DF">
      <w:pPr>
        <w:spacing w:line="480" w:lineRule="auto"/>
        <w:jc w:val="both"/>
      </w:pPr>
      <w:r>
        <w:t>The u</w:t>
      </w:r>
      <w:r w:rsidRPr="000F0625">
        <w:t xml:space="preserve">nit cost for different pollutants </w:t>
      </w:r>
      <w:r>
        <w:t>is</w:t>
      </w:r>
      <w:r w:rsidRPr="000F0625">
        <w:t xml:space="preserve"> difficult to quantify. Mortality and morbidity costs of main pollutants from transport have been assessed by Korzhenevych et al. (2014) at EU average values for PM</w:t>
      </w:r>
      <w:r w:rsidRPr="000F0625">
        <w:rPr>
          <w:vertAlign w:val="subscript"/>
        </w:rPr>
        <w:t xml:space="preserve">2.5 </w:t>
      </w:r>
      <w:r w:rsidRPr="000F0625">
        <w:t>at €</w:t>
      </w:r>
      <w:r w:rsidRPr="000F0625">
        <w:rPr>
          <w:vertAlign w:val="subscript"/>
        </w:rPr>
        <w:t>2010</w:t>
      </w:r>
      <w:r w:rsidRPr="000F0625">
        <w:t>28/kg (rural) to €</w:t>
      </w:r>
      <w:r w:rsidRPr="000F0625">
        <w:rPr>
          <w:vertAlign w:val="subscript"/>
        </w:rPr>
        <w:t>2010</w:t>
      </w:r>
      <w:r w:rsidRPr="000F0625">
        <w:t>270/kg (urban); NO</w:t>
      </w:r>
      <w:r w:rsidRPr="000F0625">
        <w:rPr>
          <w:vertAlign w:val="subscript"/>
        </w:rPr>
        <w:t>x</w:t>
      </w:r>
      <w:r w:rsidRPr="000F0625">
        <w:t xml:space="preserve"> at €</w:t>
      </w:r>
      <w:r w:rsidRPr="000F0625">
        <w:rPr>
          <w:vertAlign w:val="subscript"/>
        </w:rPr>
        <w:t>2010</w:t>
      </w:r>
      <w:r w:rsidRPr="000F0625">
        <w:t>10.6/kg; VOC at €</w:t>
      </w:r>
      <w:r w:rsidRPr="000F0625">
        <w:rPr>
          <w:vertAlign w:val="subscript"/>
        </w:rPr>
        <w:t>2010</w:t>
      </w:r>
      <w:r w:rsidRPr="000F0625">
        <w:t>1.6/kg; and SO</w:t>
      </w:r>
      <w:r w:rsidRPr="000F0625">
        <w:rPr>
          <w:vertAlign w:val="subscript"/>
        </w:rPr>
        <w:t>2</w:t>
      </w:r>
      <w:r w:rsidRPr="000F0625">
        <w:t xml:space="preserve"> at €</w:t>
      </w:r>
      <w:r w:rsidRPr="000F0625">
        <w:rPr>
          <w:vertAlign w:val="subscript"/>
        </w:rPr>
        <w:t>2010</w:t>
      </w:r>
      <w:r w:rsidRPr="000F0625">
        <w:t xml:space="preserve">10.2/kg. Depending on car model and location (urban, </w:t>
      </w:r>
      <w:r w:rsidRPr="000F0625">
        <w:lastRenderedPageBreak/>
        <w:t xml:space="preserve">suburban, rural, highway), this results in </w:t>
      </w:r>
      <w:r>
        <w:t xml:space="preserve">a </w:t>
      </w:r>
      <w:r w:rsidRPr="000F0625">
        <w:t>cost from €</w:t>
      </w:r>
      <w:r w:rsidRPr="000F0625">
        <w:rPr>
          <w:vertAlign w:val="subscript"/>
        </w:rPr>
        <w:t>2010</w:t>
      </w:r>
      <w:r w:rsidRPr="000F0625">
        <w:t>0.001/pkm to €</w:t>
      </w:r>
      <w:r w:rsidRPr="000F0625">
        <w:rPr>
          <w:vertAlign w:val="subscript"/>
        </w:rPr>
        <w:t>2010</w:t>
      </w:r>
      <w:r w:rsidRPr="000F0625">
        <w:t xml:space="preserve">0.067/pkm </w:t>
      </w:r>
      <w:r>
        <w:t>(</w:t>
      </w:r>
      <w:r w:rsidRPr="000F0625">
        <w:t xml:space="preserve">no average value </w:t>
      </w:r>
      <w:r>
        <w:t xml:space="preserve">is </w:t>
      </w:r>
      <w:r w:rsidRPr="000F0625">
        <w:t xml:space="preserve">provided by Korzhenevych et al. 2014). </w:t>
      </w:r>
      <w:r>
        <w:t>Litman and Doherty (2011)</w:t>
      </w:r>
      <w:r w:rsidRPr="000F0625">
        <w:t xml:space="preserve"> estimate that average air pollution cost </w:t>
      </w:r>
      <w:r>
        <w:t>is</w:t>
      </w:r>
      <w:r w:rsidRPr="000F0625">
        <w:t xml:space="preserve"> in the order of €</w:t>
      </w:r>
      <w:r w:rsidRPr="000F0625">
        <w:rPr>
          <w:vertAlign w:val="subscript"/>
        </w:rPr>
        <w:t>2017</w:t>
      </w:r>
      <w:r w:rsidRPr="000F0625">
        <w:t>0.017/pkm. This includes CO, PM</w:t>
      </w:r>
      <w:r w:rsidRPr="000F0625">
        <w:rPr>
          <w:vertAlign w:val="subscript"/>
        </w:rPr>
        <w:t>2.5</w:t>
      </w:r>
      <w:r w:rsidRPr="000F0625">
        <w:t>, PM</w:t>
      </w:r>
      <w:r w:rsidRPr="000F0625">
        <w:rPr>
          <w:vertAlign w:val="subscript"/>
        </w:rPr>
        <w:t>10</w:t>
      </w:r>
      <w:r w:rsidRPr="000F0625">
        <w:t>, NO</w:t>
      </w:r>
      <w:r w:rsidRPr="000F0625">
        <w:rPr>
          <w:vertAlign w:val="subscript"/>
        </w:rPr>
        <w:t>x</w:t>
      </w:r>
      <w:r w:rsidRPr="000F0625">
        <w:t>, VOC as well as the effects of O</w:t>
      </w:r>
      <w:r w:rsidRPr="000F0625">
        <w:rPr>
          <w:vertAlign w:val="subscript"/>
        </w:rPr>
        <w:t>3</w:t>
      </w:r>
      <w:r w:rsidRPr="000F0625">
        <w:t xml:space="preserve"> on agricultural crops and exterior materials. Values refer to a car with an average 21mpg fuel efficiency, equivalent to 11.2Lfuel/100vkm (</w:t>
      </w:r>
      <w:r>
        <w:t>Litman &amp; Doherty 2011</w:t>
      </w:r>
      <w:r w:rsidRPr="000F0625">
        <w:t>). EU average passenger car emissions have been estimated at 0.168kgCO</w:t>
      </w:r>
      <w:r w:rsidRPr="000F0625">
        <w:rPr>
          <w:vertAlign w:val="subscript"/>
        </w:rPr>
        <w:t>2</w:t>
      </w:r>
      <w:r w:rsidRPr="000F0625">
        <w:t xml:space="preserve">/vkm (Fontaras et al. 2017), or about 6.75 Lfuel/100vkm, assuming an equal share of diesel/petrol cars in the European fleet. </w:t>
      </w:r>
      <w:r>
        <w:t>Based on Litman and Doherty (2011)</w:t>
      </w:r>
      <w:r w:rsidRPr="000F0625">
        <w:t xml:space="preserve"> values, this translates into an average cost of €</w:t>
      </w:r>
      <w:r w:rsidRPr="000F0625">
        <w:rPr>
          <w:vertAlign w:val="subscript"/>
        </w:rPr>
        <w:t>2017</w:t>
      </w:r>
      <w:r w:rsidRPr="000F0625">
        <w:t>0.00</w:t>
      </w:r>
      <w:r>
        <w:t>6</w:t>
      </w:r>
      <w:r w:rsidRPr="000F0625">
        <w:t>/pkm</w:t>
      </w:r>
      <w:r>
        <w:t xml:space="preserve">, if </w:t>
      </w:r>
      <w:r>
        <w:rPr>
          <w:color w:val="000000" w:themeColor="text1"/>
        </w:rPr>
        <w:t>calculated as the</w:t>
      </w:r>
      <w:r w:rsidRPr="000F0625">
        <w:rPr>
          <w:color w:val="000000" w:themeColor="text1"/>
        </w:rPr>
        <w:t xml:space="preserve"> ratio of nominal European area GDP (</w:t>
      </w:r>
      <w:r>
        <w:rPr>
          <w:color w:val="000000" w:themeColor="text1"/>
        </w:rPr>
        <w:t xml:space="preserve">based on </w:t>
      </w:r>
      <w:r w:rsidRPr="000F0625">
        <w:rPr>
          <w:color w:val="000000" w:themeColor="text1"/>
        </w:rPr>
        <w:t>World Bank 2017</w:t>
      </w:r>
      <w:r>
        <w:rPr>
          <w:color w:val="000000" w:themeColor="text1"/>
        </w:rPr>
        <w:t>)</w:t>
      </w:r>
      <w:r w:rsidRPr="000F0625">
        <w:t xml:space="preserve"> (Table 3). Bicyclists and people walking do not generate</w:t>
      </w:r>
      <w:r>
        <w:t xml:space="preserve"> an </w:t>
      </w:r>
      <w:r w:rsidRPr="000F0625">
        <w:t>air pollution cost (</w:t>
      </w:r>
      <w:r>
        <w:t>Litman &amp; Doherty 2011</w:t>
      </w:r>
      <w:r w:rsidRPr="000F0625">
        <w:t>).</w:t>
      </w:r>
    </w:p>
    <w:p w14:paraId="6A398638" w14:textId="77777777" w:rsidR="00B428DF" w:rsidRPr="000F0625" w:rsidRDefault="00B428DF" w:rsidP="00B428DF">
      <w:pPr>
        <w:pStyle w:val="Lijstalinea"/>
        <w:spacing w:line="480" w:lineRule="auto"/>
        <w:ind w:left="360"/>
        <w:jc w:val="both"/>
        <w:rPr>
          <w:rFonts w:ascii="Times New Roman" w:hAnsi="Times New Roman" w:cs="Times New Roman"/>
        </w:rPr>
      </w:pPr>
    </w:p>
    <w:p w14:paraId="3BDEF0C1" w14:textId="77777777" w:rsidR="00B428DF" w:rsidRPr="000F0625" w:rsidRDefault="00B428DF" w:rsidP="00B428DF">
      <w:pPr>
        <w:spacing w:line="480" w:lineRule="auto"/>
        <w:jc w:val="both"/>
        <w:outlineLvl w:val="0"/>
        <w:rPr>
          <w:b/>
        </w:rPr>
      </w:pPr>
      <w:r w:rsidRPr="000F0625">
        <w:rPr>
          <w:b/>
        </w:rPr>
        <w:t>Table 3: Cost assessment of air pollution</w:t>
      </w:r>
    </w:p>
    <w:tbl>
      <w:tblPr>
        <w:tblStyle w:val="Tabelraster"/>
        <w:tblW w:w="0" w:type="auto"/>
        <w:tblLook w:val="04A0" w:firstRow="1" w:lastRow="0" w:firstColumn="1" w:lastColumn="0" w:noHBand="0" w:noVBand="1"/>
      </w:tblPr>
      <w:tblGrid>
        <w:gridCol w:w="3128"/>
        <w:gridCol w:w="1630"/>
        <w:gridCol w:w="1453"/>
        <w:gridCol w:w="2845"/>
      </w:tblGrid>
      <w:tr w:rsidR="00B428DF" w:rsidRPr="000F0625" w14:paraId="140BE598" w14:textId="77777777" w:rsidTr="00080905">
        <w:tc>
          <w:tcPr>
            <w:tcW w:w="3128" w:type="dxa"/>
          </w:tcPr>
          <w:p w14:paraId="72C6F0DB" w14:textId="77777777" w:rsidR="00B428DF" w:rsidRPr="000F0625" w:rsidRDefault="00B428DF" w:rsidP="00080905">
            <w:pPr>
              <w:spacing w:line="480" w:lineRule="auto"/>
              <w:jc w:val="both"/>
              <w:rPr>
                <w:b/>
                <w:lang w:val="en-GB"/>
              </w:rPr>
            </w:pPr>
            <w:r w:rsidRPr="000F0625">
              <w:rPr>
                <w:b/>
                <w:lang w:val="en-GB"/>
              </w:rPr>
              <w:t>Assessment Cars</w:t>
            </w:r>
          </w:p>
        </w:tc>
        <w:tc>
          <w:tcPr>
            <w:tcW w:w="1630" w:type="dxa"/>
          </w:tcPr>
          <w:p w14:paraId="5512EC1B" w14:textId="77777777" w:rsidR="00B428DF" w:rsidRPr="000F0625" w:rsidRDefault="00B428DF" w:rsidP="00080905">
            <w:pPr>
              <w:spacing w:line="480" w:lineRule="auto"/>
              <w:jc w:val="both"/>
              <w:rPr>
                <w:b/>
                <w:lang w:val="en-GB"/>
              </w:rPr>
            </w:pPr>
            <w:r>
              <w:rPr>
                <w:b/>
                <w:lang w:val="en-GB"/>
              </w:rPr>
              <w:t>Cost external</w:t>
            </w:r>
          </w:p>
        </w:tc>
        <w:tc>
          <w:tcPr>
            <w:tcW w:w="1453" w:type="dxa"/>
          </w:tcPr>
          <w:p w14:paraId="51F8AD09" w14:textId="77777777" w:rsidR="00B428DF" w:rsidRPr="000F0625" w:rsidRDefault="00B428DF" w:rsidP="00080905">
            <w:pPr>
              <w:spacing w:line="480" w:lineRule="auto"/>
              <w:jc w:val="both"/>
              <w:rPr>
                <w:b/>
                <w:lang w:val="en-GB"/>
              </w:rPr>
            </w:pPr>
            <w:r w:rsidRPr="000F0625">
              <w:rPr>
                <w:b/>
                <w:lang w:val="en-GB"/>
              </w:rPr>
              <w:t>Cost private</w:t>
            </w:r>
          </w:p>
        </w:tc>
        <w:tc>
          <w:tcPr>
            <w:tcW w:w="2845" w:type="dxa"/>
          </w:tcPr>
          <w:p w14:paraId="4C131B52"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47865656" w14:textId="77777777" w:rsidTr="00080905">
        <w:trPr>
          <w:trHeight w:val="208"/>
        </w:trPr>
        <w:tc>
          <w:tcPr>
            <w:tcW w:w="3128" w:type="dxa"/>
          </w:tcPr>
          <w:p w14:paraId="2773B2AA" w14:textId="77777777" w:rsidR="00B428DF" w:rsidRPr="000F0625" w:rsidRDefault="00B428DF" w:rsidP="00080905">
            <w:pPr>
              <w:spacing w:line="480" w:lineRule="auto"/>
              <w:jc w:val="both"/>
              <w:rPr>
                <w:lang w:val="en-GB"/>
              </w:rPr>
            </w:pPr>
            <w:r w:rsidRPr="000F0625">
              <w:rPr>
                <w:lang w:val="en-GB"/>
              </w:rPr>
              <w:t>CO, PM</w:t>
            </w:r>
            <w:r w:rsidRPr="000F0625">
              <w:rPr>
                <w:vertAlign w:val="subscript"/>
                <w:lang w:val="en-GB"/>
              </w:rPr>
              <w:t>2.5</w:t>
            </w:r>
            <w:r w:rsidRPr="000F0625">
              <w:rPr>
                <w:lang w:val="en-GB"/>
              </w:rPr>
              <w:t>, O</w:t>
            </w:r>
            <w:r w:rsidRPr="000F0625">
              <w:rPr>
                <w:vertAlign w:val="subscript"/>
                <w:lang w:val="en-GB"/>
              </w:rPr>
              <w:t>3</w:t>
            </w:r>
            <w:r w:rsidRPr="000F0625">
              <w:rPr>
                <w:lang w:val="en-GB"/>
              </w:rPr>
              <w:t>, PM</w:t>
            </w:r>
            <w:r w:rsidRPr="000F0625">
              <w:rPr>
                <w:vertAlign w:val="subscript"/>
                <w:lang w:val="en-GB"/>
              </w:rPr>
              <w:t>10</w:t>
            </w:r>
            <w:r w:rsidRPr="000F0625">
              <w:rPr>
                <w:lang w:val="en-GB"/>
              </w:rPr>
              <w:t>, NO</w:t>
            </w:r>
            <w:r w:rsidRPr="000F0625">
              <w:rPr>
                <w:vertAlign w:val="subscript"/>
                <w:lang w:val="en-GB"/>
              </w:rPr>
              <w:t>x</w:t>
            </w:r>
            <w:r w:rsidRPr="000F0625">
              <w:rPr>
                <w:lang w:val="en-GB"/>
              </w:rPr>
              <w:t>, VOC</w:t>
            </w:r>
          </w:p>
        </w:tc>
        <w:tc>
          <w:tcPr>
            <w:tcW w:w="1630" w:type="dxa"/>
          </w:tcPr>
          <w:p w14:paraId="1C99F150"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0.00</w:t>
            </w:r>
            <w:r>
              <w:rPr>
                <w:lang w:val="en-GB"/>
              </w:rPr>
              <w:t>6</w:t>
            </w:r>
            <w:r w:rsidRPr="000F0625">
              <w:rPr>
                <w:lang w:val="en-GB"/>
              </w:rPr>
              <w:t>/pkm</w:t>
            </w:r>
          </w:p>
        </w:tc>
        <w:tc>
          <w:tcPr>
            <w:tcW w:w="1453" w:type="dxa"/>
          </w:tcPr>
          <w:p w14:paraId="58CB3D76" w14:textId="77777777" w:rsidR="00B428DF" w:rsidRPr="000F0625" w:rsidRDefault="00B428DF" w:rsidP="00080905">
            <w:pPr>
              <w:spacing w:line="480" w:lineRule="auto"/>
              <w:jc w:val="right"/>
              <w:rPr>
                <w:lang w:val="en-GB"/>
              </w:rPr>
            </w:pPr>
            <w:r w:rsidRPr="000F0625">
              <w:rPr>
                <w:lang w:val="en-GB"/>
              </w:rPr>
              <w:t>0</w:t>
            </w:r>
          </w:p>
        </w:tc>
        <w:tc>
          <w:tcPr>
            <w:tcW w:w="2845" w:type="dxa"/>
          </w:tcPr>
          <w:p w14:paraId="0801C8F0" w14:textId="77777777" w:rsidR="00B428DF" w:rsidRPr="000F0625" w:rsidRDefault="00B428DF" w:rsidP="00080905">
            <w:pPr>
              <w:spacing w:line="480" w:lineRule="auto"/>
              <w:jc w:val="both"/>
              <w:rPr>
                <w:lang w:val="en-GB"/>
              </w:rPr>
            </w:pPr>
            <w:r>
              <w:t>Litman and Doherty, 2011</w:t>
            </w:r>
          </w:p>
        </w:tc>
      </w:tr>
      <w:tr w:rsidR="00B428DF" w:rsidRPr="000F0625" w14:paraId="6E8A22CD" w14:textId="77777777" w:rsidTr="00080905">
        <w:tc>
          <w:tcPr>
            <w:tcW w:w="3128" w:type="dxa"/>
          </w:tcPr>
          <w:p w14:paraId="07AAEF19" w14:textId="77777777" w:rsidR="00B428DF" w:rsidRPr="000F0625" w:rsidRDefault="00B428DF" w:rsidP="00080905">
            <w:pPr>
              <w:spacing w:line="480" w:lineRule="auto"/>
              <w:jc w:val="both"/>
              <w:rPr>
                <w:b/>
                <w:lang w:val="en-GB"/>
              </w:rPr>
            </w:pPr>
            <w:r w:rsidRPr="000F0625">
              <w:rPr>
                <w:b/>
                <w:lang w:val="en-GB"/>
              </w:rPr>
              <w:t>Assessment Bicycles</w:t>
            </w:r>
          </w:p>
        </w:tc>
        <w:tc>
          <w:tcPr>
            <w:tcW w:w="1630" w:type="dxa"/>
          </w:tcPr>
          <w:p w14:paraId="43A33AFE" w14:textId="77777777" w:rsidR="00B428DF" w:rsidRPr="000F0625" w:rsidRDefault="00B428DF" w:rsidP="00080905">
            <w:pPr>
              <w:spacing w:line="480" w:lineRule="auto"/>
              <w:jc w:val="both"/>
              <w:rPr>
                <w:b/>
                <w:lang w:val="en-GB"/>
              </w:rPr>
            </w:pPr>
            <w:r>
              <w:rPr>
                <w:b/>
                <w:lang w:val="en-GB"/>
              </w:rPr>
              <w:t>Cost external</w:t>
            </w:r>
          </w:p>
        </w:tc>
        <w:tc>
          <w:tcPr>
            <w:tcW w:w="1453" w:type="dxa"/>
          </w:tcPr>
          <w:p w14:paraId="681B02DB" w14:textId="77777777" w:rsidR="00B428DF" w:rsidRPr="000F0625" w:rsidRDefault="00B428DF" w:rsidP="00080905">
            <w:pPr>
              <w:spacing w:line="480" w:lineRule="auto"/>
              <w:jc w:val="both"/>
              <w:rPr>
                <w:b/>
                <w:lang w:val="en-GB"/>
              </w:rPr>
            </w:pPr>
            <w:r w:rsidRPr="000F0625">
              <w:rPr>
                <w:b/>
                <w:lang w:val="en-GB"/>
              </w:rPr>
              <w:t>Cost private</w:t>
            </w:r>
          </w:p>
        </w:tc>
        <w:tc>
          <w:tcPr>
            <w:tcW w:w="2845" w:type="dxa"/>
          </w:tcPr>
          <w:p w14:paraId="6F496A91"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58E3C16F" w14:textId="77777777" w:rsidTr="00080905">
        <w:trPr>
          <w:trHeight w:val="208"/>
        </w:trPr>
        <w:tc>
          <w:tcPr>
            <w:tcW w:w="3128" w:type="dxa"/>
          </w:tcPr>
          <w:p w14:paraId="4466027E" w14:textId="77777777" w:rsidR="00B428DF" w:rsidRPr="000F0625" w:rsidRDefault="00B428DF" w:rsidP="00080905">
            <w:pPr>
              <w:spacing w:line="480" w:lineRule="auto"/>
              <w:jc w:val="both"/>
              <w:rPr>
                <w:lang w:val="en-GB"/>
              </w:rPr>
            </w:pPr>
            <w:r w:rsidRPr="000F0625">
              <w:rPr>
                <w:lang w:val="en-GB"/>
              </w:rPr>
              <w:t>Air pollution</w:t>
            </w:r>
          </w:p>
        </w:tc>
        <w:tc>
          <w:tcPr>
            <w:tcW w:w="1630" w:type="dxa"/>
          </w:tcPr>
          <w:p w14:paraId="187A6488" w14:textId="77777777" w:rsidR="00B428DF" w:rsidRPr="000F0625" w:rsidRDefault="00B428DF" w:rsidP="00080905">
            <w:pPr>
              <w:spacing w:line="480" w:lineRule="auto"/>
              <w:jc w:val="right"/>
              <w:rPr>
                <w:lang w:val="en-GB"/>
              </w:rPr>
            </w:pPr>
            <w:r w:rsidRPr="000F0625">
              <w:rPr>
                <w:lang w:val="en-GB"/>
              </w:rPr>
              <w:t>0</w:t>
            </w:r>
          </w:p>
        </w:tc>
        <w:tc>
          <w:tcPr>
            <w:tcW w:w="1453" w:type="dxa"/>
          </w:tcPr>
          <w:p w14:paraId="2A6F7732" w14:textId="77777777" w:rsidR="00B428DF" w:rsidRPr="000F0625" w:rsidRDefault="00B428DF" w:rsidP="00080905">
            <w:pPr>
              <w:spacing w:line="480" w:lineRule="auto"/>
              <w:jc w:val="right"/>
              <w:rPr>
                <w:lang w:val="en-GB"/>
              </w:rPr>
            </w:pPr>
            <w:r w:rsidRPr="000F0625">
              <w:rPr>
                <w:lang w:val="en-GB"/>
              </w:rPr>
              <w:t>0</w:t>
            </w:r>
          </w:p>
        </w:tc>
        <w:tc>
          <w:tcPr>
            <w:tcW w:w="2845" w:type="dxa"/>
          </w:tcPr>
          <w:p w14:paraId="113C7F13" w14:textId="77777777" w:rsidR="00B428DF" w:rsidRPr="000F0625" w:rsidRDefault="00B428DF" w:rsidP="00080905">
            <w:pPr>
              <w:spacing w:line="480" w:lineRule="auto"/>
              <w:jc w:val="both"/>
              <w:rPr>
                <w:lang w:val="en-GB"/>
              </w:rPr>
            </w:pPr>
            <w:r>
              <w:t>Litman and Doherty, 2011</w:t>
            </w:r>
          </w:p>
        </w:tc>
      </w:tr>
      <w:tr w:rsidR="00B428DF" w:rsidRPr="000F0625" w14:paraId="5A238A42" w14:textId="77777777" w:rsidTr="00080905">
        <w:tc>
          <w:tcPr>
            <w:tcW w:w="3128" w:type="dxa"/>
          </w:tcPr>
          <w:p w14:paraId="3480AEBE" w14:textId="77777777" w:rsidR="00B428DF" w:rsidRPr="000F0625" w:rsidRDefault="00B428DF" w:rsidP="00080905">
            <w:pPr>
              <w:spacing w:line="480" w:lineRule="auto"/>
              <w:jc w:val="both"/>
              <w:rPr>
                <w:b/>
                <w:lang w:val="en-GB"/>
              </w:rPr>
            </w:pPr>
            <w:r w:rsidRPr="000F0625">
              <w:rPr>
                <w:b/>
                <w:lang w:val="en-GB"/>
              </w:rPr>
              <w:t>Assessment Walking</w:t>
            </w:r>
          </w:p>
        </w:tc>
        <w:tc>
          <w:tcPr>
            <w:tcW w:w="1630" w:type="dxa"/>
          </w:tcPr>
          <w:p w14:paraId="47BC8CAF" w14:textId="77777777" w:rsidR="00B428DF" w:rsidRPr="000F0625" w:rsidRDefault="00B428DF" w:rsidP="00080905">
            <w:pPr>
              <w:spacing w:line="480" w:lineRule="auto"/>
              <w:jc w:val="both"/>
              <w:rPr>
                <w:b/>
                <w:lang w:val="en-GB"/>
              </w:rPr>
            </w:pPr>
            <w:r>
              <w:rPr>
                <w:b/>
                <w:lang w:val="en-GB"/>
              </w:rPr>
              <w:t>Cost external</w:t>
            </w:r>
          </w:p>
        </w:tc>
        <w:tc>
          <w:tcPr>
            <w:tcW w:w="1453" w:type="dxa"/>
          </w:tcPr>
          <w:p w14:paraId="276DF15D" w14:textId="77777777" w:rsidR="00B428DF" w:rsidRPr="000F0625" w:rsidRDefault="00B428DF" w:rsidP="00080905">
            <w:pPr>
              <w:spacing w:line="480" w:lineRule="auto"/>
              <w:jc w:val="both"/>
              <w:rPr>
                <w:b/>
                <w:lang w:val="en-GB"/>
              </w:rPr>
            </w:pPr>
            <w:r w:rsidRPr="000F0625">
              <w:rPr>
                <w:b/>
                <w:lang w:val="en-GB"/>
              </w:rPr>
              <w:t>Cost private</w:t>
            </w:r>
          </w:p>
        </w:tc>
        <w:tc>
          <w:tcPr>
            <w:tcW w:w="2845" w:type="dxa"/>
          </w:tcPr>
          <w:p w14:paraId="3FD143D1"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516E171A" w14:textId="77777777" w:rsidTr="00080905">
        <w:trPr>
          <w:trHeight w:val="208"/>
        </w:trPr>
        <w:tc>
          <w:tcPr>
            <w:tcW w:w="3128" w:type="dxa"/>
          </w:tcPr>
          <w:p w14:paraId="207BDDF2" w14:textId="77777777" w:rsidR="00B428DF" w:rsidRPr="000F0625" w:rsidRDefault="00B428DF" w:rsidP="00080905">
            <w:pPr>
              <w:spacing w:line="480" w:lineRule="auto"/>
              <w:jc w:val="both"/>
              <w:rPr>
                <w:lang w:val="en-GB"/>
              </w:rPr>
            </w:pPr>
            <w:r w:rsidRPr="000F0625">
              <w:rPr>
                <w:lang w:val="en-GB"/>
              </w:rPr>
              <w:t>Air pollution</w:t>
            </w:r>
          </w:p>
        </w:tc>
        <w:tc>
          <w:tcPr>
            <w:tcW w:w="1630" w:type="dxa"/>
          </w:tcPr>
          <w:p w14:paraId="4AFE49D5" w14:textId="77777777" w:rsidR="00B428DF" w:rsidRPr="000F0625" w:rsidRDefault="00B428DF" w:rsidP="00080905">
            <w:pPr>
              <w:spacing w:line="480" w:lineRule="auto"/>
              <w:jc w:val="right"/>
              <w:rPr>
                <w:lang w:val="en-GB"/>
              </w:rPr>
            </w:pPr>
            <w:r w:rsidRPr="000F0625">
              <w:rPr>
                <w:lang w:val="en-GB"/>
              </w:rPr>
              <w:t>0</w:t>
            </w:r>
          </w:p>
        </w:tc>
        <w:tc>
          <w:tcPr>
            <w:tcW w:w="1453" w:type="dxa"/>
          </w:tcPr>
          <w:p w14:paraId="18633DB5" w14:textId="77777777" w:rsidR="00B428DF" w:rsidRPr="000F0625" w:rsidRDefault="00B428DF" w:rsidP="00080905">
            <w:pPr>
              <w:spacing w:line="480" w:lineRule="auto"/>
              <w:jc w:val="right"/>
              <w:rPr>
                <w:lang w:val="en-GB"/>
              </w:rPr>
            </w:pPr>
            <w:r w:rsidRPr="000F0625">
              <w:rPr>
                <w:lang w:val="en-GB"/>
              </w:rPr>
              <w:t>0</w:t>
            </w:r>
          </w:p>
        </w:tc>
        <w:tc>
          <w:tcPr>
            <w:tcW w:w="2845" w:type="dxa"/>
          </w:tcPr>
          <w:p w14:paraId="32430D9D" w14:textId="77777777" w:rsidR="00B428DF" w:rsidRPr="000F0625" w:rsidRDefault="00B428DF" w:rsidP="00080905">
            <w:pPr>
              <w:spacing w:line="480" w:lineRule="auto"/>
              <w:jc w:val="both"/>
              <w:rPr>
                <w:lang w:val="en-GB"/>
              </w:rPr>
            </w:pPr>
            <w:r>
              <w:t>Litman and Doherty, 2011</w:t>
            </w:r>
          </w:p>
        </w:tc>
      </w:tr>
    </w:tbl>
    <w:p w14:paraId="07791CD6" w14:textId="77777777" w:rsidR="00B428DF" w:rsidRPr="000F0625" w:rsidRDefault="00B428DF" w:rsidP="00B428DF">
      <w:pPr>
        <w:spacing w:line="480" w:lineRule="auto"/>
        <w:outlineLvl w:val="0"/>
        <w:rPr>
          <w:color w:val="000000" w:themeColor="text1"/>
        </w:rPr>
      </w:pPr>
    </w:p>
    <w:p w14:paraId="4C53EFCB" w14:textId="77777777" w:rsidR="00B428DF" w:rsidRPr="000F0625" w:rsidRDefault="00B428DF" w:rsidP="00B428DF">
      <w:pPr>
        <w:spacing w:line="480" w:lineRule="auto"/>
        <w:outlineLvl w:val="0"/>
        <w:rPr>
          <w:color w:val="000000" w:themeColor="text1"/>
        </w:rPr>
      </w:pPr>
    </w:p>
    <w:p w14:paraId="4B232579"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Noise</w:t>
      </w:r>
      <w:r>
        <w:rPr>
          <w:rFonts w:ascii="Times New Roman" w:hAnsi="Times New Roman" w:cs="Times New Roman"/>
          <w:b/>
          <w:bCs/>
        </w:rPr>
        <w:t xml:space="preserve"> pollution</w:t>
      </w:r>
    </w:p>
    <w:p w14:paraId="1E616DEC" w14:textId="77777777" w:rsidR="00B428DF" w:rsidRPr="000F0625" w:rsidRDefault="00B428DF" w:rsidP="00B428DF">
      <w:pPr>
        <w:spacing w:line="480" w:lineRule="auto"/>
        <w:jc w:val="both"/>
        <w:outlineLvl w:val="0"/>
        <w:rPr>
          <w:color w:val="000000" w:themeColor="text1"/>
        </w:rPr>
      </w:pPr>
      <w:r w:rsidRPr="000F0625">
        <w:rPr>
          <w:color w:val="000000" w:themeColor="text1"/>
        </w:rPr>
        <w:t xml:space="preserve">Depending on traffic situation and time of the day, </w:t>
      </w:r>
      <w:r>
        <w:rPr>
          <w:color w:val="000000" w:themeColor="text1"/>
        </w:rPr>
        <w:t xml:space="preserve">the </w:t>
      </w:r>
      <w:r w:rsidRPr="000F0625">
        <w:rPr>
          <w:color w:val="000000" w:themeColor="text1"/>
        </w:rPr>
        <w:t>cost of noise amount</w:t>
      </w:r>
      <w:r>
        <w:rPr>
          <w:color w:val="000000" w:themeColor="text1"/>
        </w:rPr>
        <w:t>s</w:t>
      </w:r>
      <w:r w:rsidRPr="000F0625">
        <w:rPr>
          <w:color w:val="000000" w:themeColor="text1"/>
        </w:rPr>
        <w:t xml:space="preserve"> to €</w:t>
      </w:r>
      <w:r w:rsidRPr="000F0625">
        <w:rPr>
          <w:color w:val="000000" w:themeColor="text1"/>
          <w:vertAlign w:val="subscript"/>
        </w:rPr>
        <w:t>2017</w:t>
      </w:r>
      <w:r w:rsidRPr="000F0625">
        <w:rPr>
          <w:color w:val="000000" w:themeColor="text1"/>
        </w:rPr>
        <w:t xml:space="preserve">0.027/pkm (Korzhenevych et al. 2014). In comparison, </w:t>
      </w:r>
      <w:r>
        <w:t>Litman and Doherty</w:t>
      </w:r>
      <w:r w:rsidRPr="000F0625">
        <w:rPr>
          <w:color w:val="000000" w:themeColor="text1"/>
        </w:rPr>
        <w:t xml:space="preserve"> (201</w:t>
      </w:r>
      <w:r>
        <w:rPr>
          <w:color w:val="000000" w:themeColor="text1"/>
        </w:rPr>
        <w:t>1</w:t>
      </w:r>
      <w:r w:rsidRPr="000F0625">
        <w:rPr>
          <w:color w:val="000000" w:themeColor="text1"/>
        </w:rPr>
        <w:t>) suggest averaged values of €</w:t>
      </w:r>
      <w:r w:rsidRPr="000F0625">
        <w:rPr>
          <w:color w:val="000000" w:themeColor="text1"/>
          <w:vertAlign w:val="subscript"/>
        </w:rPr>
        <w:t>2017</w:t>
      </w:r>
      <w:r w:rsidRPr="000F0625">
        <w:rPr>
          <w:color w:val="000000" w:themeColor="text1"/>
        </w:rPr>
        <w:t xml:space="preserve">0.003/pkm. Detailed calculations for Copenhagen considering residential property values, health treatment costs, sick leave days, and premature deaths, </w:t>
      </w:r>
      <w:r>
        <w:rPr>
          <w:color w:val="000000" w:themeColor="text1"/>
        </w:rPr>
        <w:lastRenderedPageBreak/>
        <w:t>result in an</w:t>
      </w:r>
      <w:r w:rsidRPr="000F0625">
        <w:rPr>
          <w:color w:val="000000" w:themeColor="text1"/>
        </w:rPr>
        <w:t xml:space="preserve"> urban noise cost of €</w:t>
      </w:r>
      <w:r w:rsidRPr="000F0625">
        <w:rPr>
          <w:color w:val="000000" w:themeColor="text1"/>
          <w:vertAlign w:val="subscript"/>
        </w:rPr>
        <w:t>2017</w:t>
      </w:r>
      <w:r w:rsidRPr="000F0625">
        <w:rPr>
          <w:color w:val="000000" w:themeColor="text1"/>
        </w:rPr>
        <w:t>0.011/pkm (Center for Transport Analytics 2017)</w:t>
      </w:r>
      <w:r>
        <w:rPr>
          <w:color w:val="000000" w:themeColor="text1"/>
        </w:rPr>
        <w:t xml:space="preserve">. This value is adjusted to the average European area GDP at 60% of Denmark’s GDP </w:t>
      </w:r>
      <w:r w:rsidRPr="000F0625">
        <w:rPr>
          <w:color w:val="000000" w:themeColor="text1"/>
        </w:rPr>
        <w:t>€</w:t>
      </w:r>
      <w:r w:rsidRPr="000F0625">
        <w:rPr>
          <w:color w:val="000000" w:themeColor="text1"/>
          <w:vertAlign w:val="subscript"/>
        </w:rPr>
        <w:t>2017</w:t>
      </w:r>
      <w:r w:rsidRPr="000F0625">
        <w:rPr>
          <w:color w:val="000000" w:themeColor="text1"/>
        </w:rPr>
        <w:t>0.0</w:t>
      </w:r>
      <w:r>
        <w:rPr>
          <w:color w:val="000000" w:themeColor="text1"/>
        </w:rPr>
        <w:t>07</w:t>
      </w:r>
      <w:r w:rsidRPr="000F0625">
        <w:rPr>
          <w:color w:val="000000" w:themeColor="text1"/>
        </w:rPr>
        <w:t>/pkm</w:t>
      </w:r>
      <w:r>
        <w:rPr>
          <w:color w:val="000000" w:themeColor="text1"/>
        </w:rPr>
        <w:t xml:space="preserve">. </w:t>
      </w:r>
    </w:p>
    <w:p w14:paraId="1AC2BDD8" w14:textId="77777777" w:rsidR="00B428DF" w:rsidRPr="000F0625" w:rsidRDefault="00B428DF" w:rsidP="00B428DF">
      <w:pPr>
        <w:spacing w:line="480" w:lineRule="auto"/>
        <w:outlineLvl w:val="0"/>
        <w:rPr>
          <w:color w:val="000000" w:themeColor="text1"/>
        </w:rPr>
      </w:pPr>
    </w:p>
    <w:p w14:paraId="3BF9C968" w14:textId="77777777" w:rsidR="00B428DF" w:rsidRPr="000F0625" w:rsidRDefault="00B428DF" w:rsidP="00B428DF">
      <w:pPr>
        <w:spacing w:line="480" w:lineRule="auto"/>
        <w:outlineLvl w:val="0"/>
        <w:rPr>
          <w:b/>
          <w:color w:val="000000" w:themeColor="text1"/>
        </w:rPr>
      </w:pPr>
      <w:r w:rsidRPr="000F0625">
        <w:rPr>
          <w:b/>
          <w:color w:val="000000" w:themeColor="text1"/>
        </w:rPr>
        <w:t>Table 4: Cost assessment noise</w:t>
      </w:r>
    </w:p>
    <w:tbl>
      <w:tblPr>
        <w:tblStyle w:val="Tabelraster"/>
        <w:tblW w:w="9184" w:type="dxa"/>
        <w:tblInd w:w="108" w:type="dxa"/>
        <w:tblLook w:val="04A0" w:firstRow="1" w:lastRow="0" w:firstColumn="1" w:lastColumn="0" w:noHBand="0" w:noVBand="1"/>
      </w:tblPr>
      <w:tblGrid>
        <w:gridCol w:w="2449"/>
        <w:gridCol w:w="1690"/>
        <w:gridCol w:w="1613"/>
        <w:gridCol w:w="3432"/>
      </w:tblGrid>
      <w:tr w:rsidR="00B428DF" w:rsidRPr="000F0625" w14:paraId="3CF903C5" w14:textId="77777777" w:rsidTr="00080905">
        <w:tc>
          <w:tcPr>
            <w:tcW w:w="2449" w:type="dxa"/>
          </w:tcPr>
          <w:p w14:paraId="78B06E9F"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Assessment Cars</w:t>
            </w:r>
          </w:p>
        </w:tc>
        <w:tc>
          <w:tcPr>
            <w:tcW w:w="1690" w:type="dxa"/>
          </w:tcPr>
          <w:p w14:paraId="2390D3C8" w14:textId="77777777" w:rsidR="00B428DF" w:rsidRPr="000F0625" w:rsidRDefault="00B428DF" w:rsidP="00080905">
            <w:pPr>
              <w:spacing w:line="480" w:lineRule="auto"/>
              <w:outlineLvl w:val="0"/>
              <w:rPr>
                <w:b/>
                <w:color w:val="000000" w:themeColor="text1"/>
                <w:lang w:val="en-GB"/>
              </w:rPr>
            </w:pPr>
            <w:r>
              <w:rPr>
                <w:b/>
                <w:color w:val="000000" w:themeColor="text1"/>
                <w:lang w:val="en-GB"/>
              </w:rPr>
              <w:t>Cost external</w:t>
            </w:r>
          </w:p>
        </w:tc>
        <w:tc>
          <w:tcPr>
            <w:tcW w:w="1613" w:type="dxa"/>
          </w:tcPr>
          <w:p w14:paraId="0619699D"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Cost private</w:t>
            </w:r>
          </w:p>
        </w:tc>
        <w:tc>
          <w:tcPr>
            <w:tcW w:w="3432" w:type="dxa"/>
          </w:tcPr>
          <w:p w14:paraId="17F56A3A"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Reference</w:t>
            </w:r>
          </w:p>
        </w:tc>
      </w:tr>
      <w:tr w:rsidR="00B428DF" w:rsidRPr="000F0625" w14:paraId="240A2221" w14:textId="77777777" w:rsidTr="00080905">
        <w:trPr>
          <w:trHeight w:val="543"/>
        </w:trPr>
        <w:tc>
          <w:tcPr>
            <w:tcW w:w="2449" w:type="dxa"/>
          </w:tcPr>
          <w:p w14:paraId="38126818"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Noise, general</w:t>
            </w:r>
          </w:p>
        </w:tc>
        <w:tc>
          <w:tcPr>
            <w:tcW w:w="1690" w:type="dxa"/>
          </w:tcPr>
          <w:p w14:paraId="35303E28"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w:t>
            </w:r>
            <w:r w:rsidRPr="000F0625">
              <w:rPr>
                <w:color w:val="000000" w:themeColor="text1"/>
                <w:vertAlign w:val="subscript"/>
                <w:lang w:val="en-GB"/>
              </w:rPr>
              <w:t>2017</w:t>
            </w:r>
            <w:r>
              <w:rPr>
                <w:color w:val="000000" w:themeColor="text1"/>
                <w:lang w:val="en-GB"/>
              </w:rPr>
              <w:t>0.007</w:t>
            </w:r>
            <w:r w:rsidRPr="000F0625">
              <w:rPr>
                <w:color w:val="000000" w:themeColor="text1"/>
                <w:lang w:val="en-GB"/>
              </w:rPr>
              <w:t>/pkm</w:t>
            </w:r>
          </w:p>
        </w:tc>
        <w:tc>
          <w:tcPr>
            <w:tcW w:w="1613" w:type="dxa"/>
          </w:tcPr>
          <w:p w14:paraId="16CD4B6B"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w:t>
            </w:r>
          </w:p>
        </w:tc>
        <w:tc>
          <w:tcPr>
            <w:tcW w:w="3432" w:type="dxa"/>
          </w:tcPr>
          <w:p w14:paraId="5CD2F4E7" w14:textId="77777777" w:rsidR="00B428DF" w:rsidRPr="000F0625" w:rsidRDefault="00B428DF" w:rsidP="00080905">
            <w:pPr>
              <w:spacing w:line="480" w:lineRule="auto"/>
              <w:outlineLvl w:val="0"/>
              <w:rPr>
                <w:color w:val="000000" w:themeColor="text1"/>
                <w:lang w:val="en-GB"/>
              </w:rPr>
            </w:pPr>
            <w:r>
              <w:t>Litman and Doherty, 2011</w:t>
            </w:r>
          </w:p>
        </w:tc>
      </w:tr>
      <w:tr w:rsidR="00B428DF" w:rsidRPr="000F0625" w14:paraId="50EA56A7" w14:textId="77777777" w:rsidTr="00080905">
        <w:tc>
          <w:tcPr>
            <w:tcW w:w="2449" w:type="dxa"/>
          </w:tcPr>
          <w:p w14:paraId="33CC0828"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Assessment Bicycles</w:t>
            </w:r>
          </w:p>
        </w:tc>
        <w:tc>
          <w:tcPr>
            <w:tcW w:w="1690" w:type="dxa"/>
          </w:tcPr>
          <w:p w14:paraId="3561BAE7" w14:textId="77777777" w:rsidR="00B428DF" w:rsidRPr="000F0625" w:rsidRDefault="00B428DF" w:rsidP="00080905">
            <w:pPr>
              <w:spacing w:line="480" w:lineRule="auto"/>
              <w:outlineLvl w:val="0"/>
              <w:rPr>
                <w:b/>
                <w:color w:val="000000" w:themeColor="text1"/>
                <w:lang w:val="en-GB"/>
              </w:rPr>
            </w:pPr>
            <w:r>
              <w:rPr>
                <w:b/>
                <w:color w:val="000000" w:themeColor="text1"/>
                <w:lang w:val="en-GB"/>
              </w:rPr>
              <w:t>Cost external</w:t>
            </w:r>
          </w:p>
        </w:tc>
        <w:tc>
          <w:tcPr>
            <w:tcW w:w="1613" w:type="dxa"/>
          </w:tcPr>
          <w:p w14:paraId="014BF7A1"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Cost private</w:t>
            </w:r>
          </w:p>
        </w:tc>
        <w:tc>
          <w:tcPr>
            <w:tcW w:w="3432" w:type="dxa"/>
          </w:tcPr>
          <w:p w14:paraId="5A678872"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Reference</w:t>
            </w:r>
          </w:p>
        </w:tc>
      </w:tr>
      <w:tr w:rsidR="00B428DF" w:rsidRPr="000F0625" w14:paraId="607F1862" w14:textId="77777777" w:rsidTr="00080905">
        <w:trPr>
          <w:trHeight w:val="208"/>
        </w:trPr>
        <w:tc>
          <w:tcPr>
            <w:tcW w:w="2449" w:type="dxa"/>
          </w:tcPr>
          <w:p w14:paraId="490B36C9"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Noise, general</w:t>
            </w:r>
          </w:p>
        </w:tc>
        <w:tc>
          <w:tcPr>
            <w:tcW w:w="1690" w:type="dxa"/>
          </w:tcPr>
          <w:p w14:paraId="4E4188FF"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w:t>
            </w:r>
          </w:p>
        </w:tc>
        <w:tc>
          <w:tcPr>
            <w:tcW w:w="1613" w:type="dxa"/>
          </w:tcPr>
          <w:p w14:paraId="43317F85"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w:t>
            </w:r>
          </w:p>
        </w:tc>
        <w:tc>
          <w:tcPr>
            <w:tcW w:w="3432" w:type="dxa"/>
          </w:tcPr>
          <w:p w14:paraId="5CF5E5D6" w14:textId="77777777" w:rsidR="00B428DF" w:rsidRPr="000F0625" w:rsidRDefault="00B428DF" w:rsidP="00080905">
            <w:pPr>
              <w:spacing w:line="480" w:lineRule="auto"/>
              <w:outlineLvl w:val="0"/>
              <w:rPr>
                <w:color w:val="000000" w:themeColor="text1"/>
                <w:lang w:val="en-GB"/>
              </w:rPr>
            </w:pPr>
            <w:r>
              <w:t>Litman and Doherty, 2011</w:t>
            </w:r>
          </w:p>
        </w:tc>
      </w:tr>
      <w:tr w:rsidR="00B428DF" w:rsidRPr="000F0625" w14:paraId="77EE342F" w14:textId="77777777" w:rsidTr="00080905">
        <w:tc>
          <w:tcPr>
            <w:tcW w:w="2449" w:type="dxa"/>
          </w:tcPr>
          <w:p w14:paraId="06D7590C"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Assessment Walking</w:t>
            </w:r>
          </w:p>
        </w:tc>
        <w:tc>
          <w:tcPr>
            <w:tcW w:w="1690" w:type="dxa"/>
          </w:tcPr>
          <w:p w14:paraId="0E7FD4FD" w14:textId="77777777" w:rsidR="00B428DF" w:rsidRPr="000F0625" w:rsidRDefault="00B428DF" w:rsidP="00080905">
            <w:pPr>
              <w:spacing w:line="480" w:lineRule="auto"/>
              <w:outlineLvl w:val="0"/>
              <w:rPr>
                <w:b/>
                <w:color w:val="000000" w:themeColor="text1"/>
                <w:lang w:val="en-GB"/>
              </w:rPr>
            </w:pPr>
            <w:r>
              <w:rPr>
                <w:b/>
                <w:color w:val="000000" w:themeColor="text1"/>
                <w:lang w:val="en-GB"/>
              </w:rPr>
              <w:t>Cost external</w:t>
            </w:r>
          </w:p>
        </w:tc>
        <w:tc>
          <w:tcPr>
            <w:tcW w:w="1613" w:type="dxa"/>
          </w:tcPr>
          <w:p w14:paraId="591AA727"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Cost private</w:t>
            </w:r>
          </w:p>
        </w:tc>
        <w:tc>
          <w:tcPr>
            <w:tcW w:w="3432" w:type="dxa"/>
          </w:tcPr>
          <w:p w14:paraId="6E8B7AAD"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Reference</w:t>
            </w:r>
          </w:p>
        </w:tc>
      </w:tr>
      <w:tr w:rsidR="00B428DF" w:rsidRPr="000F0625" w14:paraId="11B1F98D" w14:textId="77777777" w:rsidTr="00080905">
        <w:trPr>
          <w:trHeight w:val="208"/>
        </w:trPr>
        <w:tc>
          <w:tcPr>
            <w:tcW w:w="2449" w:type="dxa"/>
          </w:tcPr>
          <w:p w14:paraId="0854DA4D"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Noise, general</w:t>
            </w:r>
          </w:p>
        </w:tc>
        <w:tc>
          <w:tcPr>
            <w:tcW w:w="1690" w:type="dxa"/>
          </w:tcPr>
          <w:p w14:paraId="3A476CC0"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w:t>
            </w:r>
          </w:p>
        </w:tc>
        <w:tc>
          <w:tcPr>
            <w:tcW w:w="1613" w:type="dxa"/>
          </w:tcPr>
          <w:p w14:paraId="6123E51A"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w:t>
            </w:r>
          </w:p>
        </w:tc>
        <w:tc>
          <w:tcPr>
            <w:tcW w:w="3432" w:type="dxa"/>
          </w:tcPr>
          <w:p w14:paraId="3919111B" w14:textId="77777777" w:rsidR="00B428DF" w:rsidRPr="000F0625" w:rsidRDefault="00B428DF" w:rsidP="00080905">
            <w:pPr>
              <w:spacing w:line="480" w:lineRule="auto"/>
              <w:outlineLvl w:val="0"/>
              <w:rPr>
                <w:color w:val="000000" w:themeColor="text1"/>
                <w:lang w:val="en-GB"/>
              </w:rPr>
            </w:pPr>
            <w:r>
              <w:t>Litman and Doherty, 2011</w:t>
            </w:r>
          </w:p>
        </w:tc>
      </w:tr>
    </w:tbl>
    <w:p w14:paraId="73BF474C" w14:textId="77777777" w:rsidR="00B428DF" w:rsidRPr="000F0625" w:rsidRDefault="00B428DF" w:rsidP="00B428DF">
      <w:pPr>
        <w:spacing w:line="480" w:lineRule="auto"/>
        <w:outlineLvl w:val="0"/>
        <w:rPr>
          <w:color w:val="000000" w:themeColor="text1"/>
        </w:rPr>
      </w:pPr>
    </w:p>
    <w:p w14:paraId="0C1F2DD7" w14:textId="77777777" w:rsidR="00B428DF" w:rsidRPr="000F0625" w:rsidRDefault="00B428DF" w:rsidP="00B428DF">
      <w:pPr>
        <w:spacing w:line="480" w:lineRule="auto"/>
        <w:outlineLvl w:val="0"/>
        <w:rPr>
          <w:color w:val="000000" w:themeColor="text1"/>
        </w:rPr>
      </w:pPr>
    </w:p>
    <w:p w14:paraId="232E5511"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Soil and water quality</w:t>
      </w:r>
    </w:p>
    <w:p w14:paraId="43823D59" w14:textId="77777777" w:rsidR="00B428DF" w:rsidRPr="000F0625" w:rsidRDefault="00B428DF" w:rsidP="00B428DF">
      <w:pPr>
        <w:spacing w:line="480" w:lineRule="auto"/>
        <w:jc w:val="both"/>
        <w:rPr>
          <w:bCs/>
        </w:rPr>
      </w:pPr>
      <w:r w:rsidRPr="000F0625">
        <w:rPr>
          <w:bCs/>
        </w:rPr>
        <w:t xml:space="preserve">In the only assessment that seeks to quantify water pollution and hydrologic impacts, including oil drips, de-icing, roadside herbicides, storage tank leakages, air pollution settlement; as well as increased impervious surfaces, concentrated runoff, wetland loss, shoreline modification and constructions along shorelines (hydrolic), </w:t>
      </w:r>
      <w:r>
        <w:rPr>
          <w:bCs/>
        </w:rPr>
        <w:t>Litman and Doherty</w:t>
      </w:r>
      <w:r w:rsidRPr="000F0625">
        <w:rPr>
          <w:bCs/>
        </w:rPr>
        <w:t xml:space="preserve"> (201</w:t>
      </w:r>
      <w:r>
        <w:rPr>
          <w:bCs/>
        </w:rPr>
        <w:t>1</w:t>
      </w:r>
      <w:r w:rsidRPr="000F0625">
        <w:rPr>
          <w:bCs/>
        </w:rPr>
        <w:t>) calculat</w:t>
      </w:r>
      <w:r>
        <w:rPr>
          <w:bCs/>
        </w:rPr>
        <w:t xml:space="preserve">e a </w:t>
      </w:r>
      <w:r w:rsidRPr="000F0625">
        <w:rPr>
          <w:bCs/>
        </w:rPr>
        <w:t>cost of €</w:t>
      </w:r>
      <w:r w:rsidRPr="000F0625">
        <w:rPr>
          <w:bCs/>
          <w:vertAlign w:val="subscript"/>
        </w:rPr>
        <w:t>2017</w:t>
      </w:r>
      <w:r w:rsidRPr="000F0625">
        <w:rPr>
          <w:bCs/>
        </w:rPr>
        <w:t>0.006/pkm. T</w:t>
      </w:r>
      <w:r>
        <w:rPr>
          <w:bCs/>
        </w:rPr>
        <w:t>his</w:t>
      </w:r>
      <w:r w:rsidRPr="000F0625">
        <w:rPr>
          <w:bCs/>
        </w:rPr>
        <w:t xml:space="preserve"> value </w:t>
      </w:r>
      <w:r>
        <w:rPr>
          <w:bCs/>
        </w:rPr>
        <w:t>is</w:t>
      </w:r>
      <w:r w:rsidRPr="000F0625">
        <w:rPr>
          <w:bCs/>
        </w:rPr>
        <w:t xml:space="preserve"> used for the EU (Table 7)</w:t>
      </w:r>
      <w:r>
        <w:rPr>
          <w:bCs/>
        </w:rPr>
        <w:t xml:space="preserve">, at 74% of Canada’s GDP, corresponding to </w:t>
      </w:r>
      <w:r w:rsidRPr="000F0625">
        <w:rPr>
          <w:bCs/>
        </w:rPr>
        <w:t>€</w:t>
      </w:r>
      <w:r w:rsidRPr="000F0625">
        <w:rPr>
          <w:bCs/>
          <w:vertAlign w:val="subscript"/>
        </w:rPr>
        <w:t>2017</w:t>
      </w:r>
      <w:r w:rsidRPr="000F0625">
        <w:rPr>
          <w:bCs/>
        </w:rPr>
        <w:t>0.00</w:t>
      </w:r>
      <w:r>
        <w:rPr>
          <w:bCs/>
        </w:rPr>
        <w:t>5</w:t>
      </w:r>
      <w:r w:rsidRPr="000F0625">
        <w:rPr>
          <w:bCs/>
        </w:rPr>
        <w:t>/pkm. Bicycle and walking are likely to incur significantly more limited contamination impacts.</w:t>
      </w:r>
    </w:p>
    <w:p w14:paraId="767866CE" w14:textId="77777777" w:rsidR="00B428DF" w:rsidRPr="000F0625" w:rsidRDefault="00B428DF" w:rsidP="00B428DF">
      <w:pPr>
        <w:spacing w:line="480" w:lineRule="auto"/>
        <w:jc w:val="both"/>
        <w:rPr>
          <w:bCs/>
        </w:rPr>
      </w:pPr>
    </w:p>
    <w:p w14:paraId="040CE71F" w14:textId="77777777" w:rsidR="00B428DF" w:rsidRPr="000F0625" w:rsidRDefault="00B428DF" w:rsidP="00B428DF">
      <w:pPr>
        <w:spacing w:line="480" w:lineRule="auto"/>
        <w:jc w:val="both"/>
        <w:rPr>
          <w:b/>
          <w:bCs/>
        </w:rPr>
      </w:pPr>
      <w:r w:rsidRPr="000F0625">
        <w:rPr>
          <w:b/>
          <w:bCs/>
        </w:rPr>
        <w:t xml:space="preserve">Table </w:t>
      </w:r>
      <w:r>
        <w:rPr>
          <w:b/>
          <w:bCs/>
        </w:rPr>
        <w:t>5</w:t>
      </w:r>
      <w:r w:rsidRPr="000F0625">
        <w:rPr>
          <w:b/>
          <w:bCs/>
        </w:rPr>
        <w:t xml:space="preserve">: Cost assessment soil and water pollutants </w:t>
      </w:r>
    </w:p>
    <w:tbl>
      <w:tblPr>
        <w:tblStyle w:val="Tabelraster"/>
        <w:tblW w:w="9106" w:type="dxa"/>
        <w:tblInd w:w="108" w:type="dxa"/>
        <w:tblLook w:val="04A0" w:firstRow="1" w:lastRow="0" w:firstColumn="1" w:lastColumn="0" w:noHBand="0" w:noVBand="1"/>
      </w:tblPr>
      <w:tblGrid>
        <w:gridCol w:w="2675"/>
        <w:gridCol w:w="1884"/>
        <w:gridCol w:w="1616"/>
        <w:gridCol w:w="2931"/>
      </w:tblGrid>
      <w:tr w:rsidR="00B428DF" w:rsidRPr="000F0625" w14:paraId="4730ED6F" w14:textId="77777777" w:rsidTr="00080905">
        <w:trPr>
          <w:trHeight w:val="278"/>
        </w:trPr>
        <w:tc>
          <w:tcPr>
            <w:tcW w:w="2675" w:type="dxa"/>
          </w:tcPr>
          <w:p w14:paraId="7E0B5485" w14:textId="77777777" w:rsidR="00B428DF" w:rsidRPr="000F0625" w:rsidRDefault="00B428DF" w:rsidP="00080905">
            <w:pPr>
              <w:spacing w:line="480" w:lineRule="auto"/>
              <w:jc w:val="both"/>
              <w:rPr>
                <w:b/>
                <w:bCs/>
                <w:lang w:val="en-GB"/>
              </w:rPr>
            </w:pPr>
            <w:r w:rsidRPr="000F0625">
              <w:rPr>
                <w:b/>
                <w:bCs/>
                <w:lang w:val="en-GB"/>
              </w:rPr>
              <w:t>Assessment Cars</w:t>
            </w:r>
          </w:p>
        </w:tc>
        <w:tc>
          <w:tcPr>
            <w:tcW w:w="1884" w:type="dxa"/>
          </w:tcPr>
          <w:p w14:paraId="13B65E5E" w14:textId="77777777" w:rsidR="00B428DF" w:rsidRPr="000F0625" w:rsidRDefault="00B428DF" w:rsidP="00080905">
            <w:pPr>
              <w:spacing w:line="480" w:lineRule="auto"/>
              <w:jc w:val="both"/>
              <w:rPr>
                <w:b/>
                <w:bCs/>
                <w:lang w:val="en-GB"/>
              </w:rPr>
            </w:pPr>
            <w:r>
              <w:rPr>
                <w:b/>
                <w:bCs/>
                <w:lang w:val="en-GB"/>
              </w:rPr>
              <w:t>Cost external</w:t>
            </w:r>
          </w:p>
        </w:tc>
        <w:tc>
          <w:tcPr>
            <w:tcW w:w="1616" w:type="dxa"/>
          </w:tcPr>
          <w:p w14:paraId="564EECED" w14:textId="77777777" w:rsidR="00B428DF" w:rsidRPr="000F0625" w:rsidRDefault="00B428DF" w:rsidP="00080905">
            <w:pPr>
              <w:spacing w:line="480" w:lineRule="auto"/>
              <w:jc w:val="both"/>
              <w:rPr>
                <w:b/>
                <w:bCs/>
                <w:lang w:val="en-GB"/>
              </w:rPr>
            </w:pPr>
            <w:r w:rsidRPr="000F0625">
              <w:rPr>
                <w:b/>
                <w:bCs/>
                <w:lang w:val="en-GB"/>
              </w:rPr>
              <w:t>Cost private</w:t>
            </w:r>
          </w:p>
        </w:tc>
        <w:tc>
          <w:tcPr>
            <w:tcW w:w="2931" w:type="dxa"/>
          </w:tcPr>
          <w:p w14:paraId="2CE42374" w14:textId="77777777" w:rsidR="00B428DF" w:rsidRPr="000F0625" w:rsidRDefault="00B428DF" w:rsidP="00080905">
            <w:pPr>
              <w:spacing w:line="480" w:lineRule="auto"/>
              <w:jc w:val="both"/>
              <w:rPr>
                <w:b/>
                <w:bCs/>
                <w:lang w:val="en-GB"/>
              </w:rPr>
            </w:pPr>
            <w:r w:rsidRPr="000F0625">
              <w:rPr>
                <w:b/>
                <w:bCs/>
                <w:lang w:val="en-GB"/>
              </w:rPr>
              <w:t>Reference</w:t>
            </w:r>
          </w:p>
        </w:tc>
      </w:tr>
      <w:tr w:rsidR="00B428DF" w:rsidRPr="000F0625" w14:paraId="2C27E44D" w14:textId="77777777" w:rsidTr="00080905">
        <w:trPr>
          <w:trHeight w:val="296"/>
        </w:trPr>
        <w:tc>
          <w:tcPr>
            <w:tcW w:w="2675" w:type="dxa"/>
          </w:tcPr>
          <w:p w14:paraId="3B11A26D" w14:textId="77777777" w:rsidR="00B428DF" w:rsidRPr="000F0625" w:rsidRDefault="00B428DF" w:rsidP="00080905">
            <w:pPr>
              <w:spacing w:line="480" w:lineRule="auto"/>
              <w:jc w:val="both"/>
              <w:rPr>
                <w:bCs/>
                <w:lang w:val="en-GB"/>
              </w:rPr>
            </w:pPr>
            <w:r w:rsidRPr="000F0625">
              <w:rPr>
                <w:bCs/>
                <w:lang w:val="en-GB"/>
              </w:rPr>
              <w:t>Pollutants to soil and water</w:t>
            </w:r>
          </w:p>
        </w:tc>
        <w:tc>
          <w:tcPr>
            <w:tcW w:w="1884" w:type="dxa"/>
          </w:tcPr>
          <w:p w14:paraId="2E91070A" w14:textId="77777777" w:rsidR="00B428DF" w:rsidRPr="000F0625" w:rsidRDefault="00B428DF" w:rsidP="00080905">
            <w:pPr>
              <w:spacing w:line="480" w:lineRule="auto"/>
              <w:jc w:val="both"/>
              <w:rPr>
                <w:bCs/>
                <w:lang w:val="en-GB"/>
              </w:rPr>
            </w:pPr>
            <w:r w:rsidRPr="000F0625">
              <w:rPr>
                <w:bCs/>
                <w:lang w:val="en-GB"/>
              </w:rPr>
              <w:t>€</w:t>
            </w:r>
            <w:r w:rsidRPr="000F0625">
              <w:rPr>
                <w:bCs/>
                <w:vertAlign w:val="subscript"/>
                <w:lang w:val="en-GB"/>
              </w:rPr>
              <w:t>2017</w:t>
            </w:r>
            <w:r w:rsidRPr="000F0625">
              <w:rPr>
                <w:bCs/>
                <w:lang w:val="en-GB"/>
              </w:rPr>
              <w:t>0.00</w:t>
            </w:r>
            <w:r>
              <w:rPr>
                <w:bCs/>
                <w:lang w:val="en-GB"/>
              </w:rPr>
              <w:t>5</w:t>
            </w:r>
            <w:r w:rsidRPr="000F0625">
              <w:rPr>
                <w:bCs/>
                <w:lang w:val="en-GB"/>
              </w:rPr>
              <w:t>/pkm</w:t>
            </w:r>
          </w:p>
        </w:tc>
        <w:tc>
          <w:tcPr>
            <w:tcW w:w="1616" w:type="dxa"/>
          </w:tcPr>
          <w:p w14:paraId="0CC7E380" w14:textId="77777777" w:rsidR="00B428DF" w:rsidRPr="000F0625" w:rsidRDefault="00B428DF" w:rsidP="00080905">
            <w:pPr>
              <w:spacing w:line="480" w:lineRule="auto"/>
              <w:jc w:val="both"/>
              <w:rPr>
                <w:bCs/>
                <w:lang w:val="en-GB"/>
              </w:rPr>
            </w:pPr>
            <w:r w:rsidRPr="000F0625">
              <w:rPr>
                <w:bCs/>
                <w:lang w:val="en-GB"/>
              </w:rPr>
              <w:t>0</w:t>
            </w:r>
          </w:p>
        </w:tc>
        <w:tc>
          <w:tcPr>
            <w:tcW w:w="2931" w:type="dxa"/>
          </w:tcPr>
          <w:p w14:paraId="6B6F694F" w14:textId="77777777" w:rsidR="00B428DF" w:rsidRPr="000F0625" w:rsidRDefault="00B428DF" w:rsidP="00080905">
            <w:pPr>
              <w:spacing w:line="480" w:lineRule="auto"/>
              <w:jc w:val="both"/>
              <w:rPr>
                <w:bCs/>
                <w:lang w:val="en-GB"/>
              </w:rPr>
            </w:pPr>
            <w:r>
              <w:t>Litman and Doherty, 2011</w:t>
            </w:r>
          </w:p>
        </w:tc>
      </w:tr>
      <w:tr w:rsidR="00B428DF" w:rsidRPr="000F0625" w14:paraId="638B7A54" w14:textId="77777777" w:rsidTr="00080905">
        <w:tc>
          <w:tcPr>
            <w:tcW w:w="2675" w:type="dxa"/>
          </w:tcPr>
          <w:p w14:paraId="116E2755" w14:textId="77777777" w:rsidR="00B428DF" w:rsidRPr="000F0625" w:rsidRDefault="00B428DF" w:rsidP="00080905">
            <w:pPr>
              <w:spacing w:line="480" w:lineRule="auto"/>
              <w:jc w:val="both"/>
              <w:rPr>
                <w:b/>
                <w:bCs/>
                <w:lang w:val="en-GB"/>
              </w:rPr>
            </w:pPr>
            <w:r w:rsidRPr="000F0625">
              <w:rPr>
                <w:b/>
                <w:bCs/>
                <w:lang w:val="en-GB"/>
              </w:rPr>
              <w:lastRenderedPageBreak/>
              <w:t>Assessment Bicycles</w:t>
            </w:r>
          </w:p>
        </w:tc>
        <w:tc>
          <w:tcPr>
            <w:tcW w:w="1884" w:type="dxa"/>
          </w:tcPr>
          <w:p w14:paraId="49E794B0" w14:textId="77777777" w:rsidR="00B428DF" w:rsidRPr="000F0625" w:rsidRDefault="00B428DF" w:rsidP="00080905">
            <w:pPr>
              <w:spacing w:line="480" w:lineRule="auto"/>
              <w:jc w:val="both"/>
              <w:rPr>
                <w:b/>
                <w:bCs/>
                <w:lang w:val="en-GB"/>
              </w:rPr>
            </w:pPr>
            <w:r>
              <w:rPr>
                <w:b/>
                <w:bCs/>
                <w:lang w:val="en-GB"/>
              </w:rPr>
              <w:t>Cost external</w:t>
            </w:r>
          </w:p>
        </w:tc>
        <w:tc>
          <w:tcPr>
            <w:tcW w:w="1616" w:type="dxa"/>
          </w:tcPr>
          <w:p w14:paraId="543FEF3D" w14:textId="77777777" w:rsidR="00B428DF" w:rsidRPr="000F0625" w:rsidRDefault="00B428DF" w:rsidP="00080905">
            <w:pPr>
              <w:spacing w:line="480" w:lineRule="auto"/>
              <w:jc w:val="both"/>
              <w:rPr>
                <w:b/>
                <w:bCs/>
                <w:lang w:val="en-GB"/>
              </w:rPr>
            </w:pPr>
            <w:r w:rsidRPr="000F0625">
              <w:rPr>
                <w:b/>
                <w:bCs/>
                <w:lang w:val="en-GB"/>
              </w:rPr>
              <w:t>Cost private</w:t>
            </w:r>
          </w:p>
        </w:tc>
        <w:tc>
          <w:tcPr>
            <w:tcW w:w="2931" w:type="dxa"/>
          </w:tcPr>
          <w:p w14:paraId="33C9E60E" w14:textId="77777777" w:rsidR="00B428DF" w:rsidRPr="000F0625" w:rsidRDefault="00B428DF" w:rsidP="00080905">
            <w:pPr>
              <w:spacing w:line="480" w:lineRule="auto"/>
              <w:jc w:val="both"/>
              <w:rPr>
                <w:b/>
                <w:bCs/>
                <w:lang w:val="en-GB"/>
              </w:rPr>
            </w:pPr>
            <w:r w:rsidRPr="000F0625">
              <w:rPr>
                <w:b/>
                <w:bCs/>
                <w:lang w:val="en-GB"/>
              </w:rPr>
              <w:t>Reference</w:t>
            </w:r>
          </w:p>
        </w:tc>
      </w:tr>
      <w:tr w:rsidR="00B428DF" w:rsidRPr="000F0625" w14:paraId="5165C68A" w14:textId="77777777" w:rsidTr="00080905">
        <w:trPr>
          <w:trHeight w:val="296"/>
        </w:trPr>
        <w:tc>
          <w:tcPr>
            <w:tcW w:w="2675" w:type="dxa"/>
          </w:tcPr>
          <w:p w14:paraId="78E0E126" w14:textId="77777777" w:rsidR="00B428DF" w:rsidRPr="000F0625" w:rsidRDefault="00B428DF" w:rsidP="00080905">
            <w:pPr>
              <w:spacing w:line="480" w:lineRule="auto"/>
              <w:jc w:val="both"/>
              <w:rPr>
                <w:bCs/>
                <w:lang w:val="en-GB"/>
              </w:rPr>
            </w:pPr>
            <w:r w:rsidRPr="000F0625">
              <w:rPr>
                <w:bCs/>
                <w:lang w:val="en-GB"/>
              </w:rPr>
              <w:t>Pollutants to soil and water</w:t>
            </w:r>
          </w:p>
        </w:tc>
        <w:tc>
          <w:tcPr>
            <w:tcW w:w="1884" w:type="dxa"/>
          </w:tcPr>
          <w:p w14:paraId="662A5993" w14:textId="77777777" w:rsidR="00B428DF" w:rsidRPr="000F0625" w:rsidRDefault="00B428DF" w:rsidP="00080905">
            <w:pPr>
              <w:spacing w:line="480" w:lineRule="auto"/>
              <w:jc w:val="both"/>
              <w:rPr>
                <w:bCs/>
                <w:lang w:val="en-GB"/>
              </w:rPr>
            </w:pPr>
            <w:r w:rsidRPr="000F0625">
              <w:rPr>
                <w:bCs/>
                <w:lang w:val="en-GB"/>
              </w:rPr>
              <w:t>&lt;€</w:t>
            </w:r>
            <w:r w:rsidRPr="000F0625">
              <w:rPr>
                <w:bCs/>
                <w:vertAlign w:val="subscript"/>
                <w:lang w:val="en-GB"/>
              </w:rPr>
              <w:t>2017</w:t>
            </w:r>
            <w:r w:rsidRPr="000F0625">
              <w:rPr>
                <w:bCs/>
                <w:lang w:val="en-GB"/>
              </w:rPr>
              <w:t>0.001/pkm</w:t>
            </w:r>
          </w:p>
        </w:tc>
        <w:tc>
          <w:tcPr>
            <w:tcW w:w="1616" w:type="dxa"/>
          </w:tcPr>
          <w:p w14:paraId="01BB5677" w14:textId="77777777" w:rsidR="00B428DF" w:rsidRPr="000F0625" w:rsidRDefault="00B428DF" w:rsidP="00080905">
            <w:pPr>
              <w:spacing w:line="480" w:lineRule="auto"/>
              <w:jc w:val="both"/>
              <w:rPr>
                <w:bCs/>
                <w:lang w:val="en-GB"/>
              </w:rPr>
            </w:pPr>
            <w:r w:rsidRPr="000F0625">
              <w:rPr>
                <w:bCs/>
                <w:lang w:val="en-GB"/>
              </w:rPr>
              <w:t>0</w:t>
            </w:r>
          </w:p>
        </w:tc>
        <w:tc>
          <w:tcPr>
            <w:tcW w:w="2931" w:type="dxa"/>
          </w:tcPr>
          <w:p w14:paraId="0AF0C297" w14:textId="77777777" w:rsidR="00B428DF" w:rsidRPr="000F0625" w:rsidRDefault="00B428DF" w:rsidP="00080905">
            <w:pPr>
              <w:spacing w:line="480" w:lineRule="auto"/>
              <w:jc w:val="both"/>
              <w:rPr>
                <w:bCs/>
                <w:lang w:val="en-GB"/>
              </w:rPr>
            </w:pPr>
            <w:r>
              <w:rPr>
                <w:bCs/>
                <w:lang w:val="en-GB"/>
              </w:rPr>
              <w:t>Authors</w:t>
            </w:r>
          </w:p>
        </w:tc>
      </w:tr>
      <w:tr w:rsidR="00B428DF" w:rsidRPr="000F0625" w14:paraId="062EC4B7" w14:textId="77777777" w:rsidTr="00080905">
        <w:tc>
          <w:tcPr>
            <w:tcW w:w="2675" w:type="dxa"/>
          </w:tcPr>
          <w:p w14:paraId="487E88FE" w14:textId="77777777" w:rsidR="00B428DF" w:rsidRPr="000F0625" w:rsidRDefault="00B428DF" w:rsidP="00080905">
            <w:pPr>
              <w:spacing w:line="480" w:lineRule="auto"/>
              <w:jc w:val="both"/>
              <w:rPr>
                <w:b/>
                <w:bCs/>
                <w:lang w:val="en-GB"/>
              </w:rPr>
            </w:pPr>
            <w:r w:rsidRPr="000F0625">
              <w:rPr>
                <w:b/>
                <w:bCs/>
                <w:lang w:val="en-GB"/>
              </w:rPr>
              <w:t>Assessment Walking</w:t>
            </w:r>
          </w:p>
        </w:tc>
        <w:tc>
          <w:tcPr>
            <w:tcW w:w="1884" w:type="dxa"/>
          </w:tcPr>
          <w:p w14:paraId="395A6645" w14:textId="77777777" w:rsidR="00B428DF" w:rsidRPr="000F0625" w:rsidRDefault="00B428DF" w:rsidP="00080905">
            <w:pPr>
              <w:spacing w:line="480" w:lineRule="auto"/>
              <w:jc w:val="both"/>
              <w:rPr>
                <w:b/>
                <w:bCs/>
                <w:lang w:val="en-GB"/>
              </w:rPr>
            </w:pPr>
            <w:r>
              <w:rPr>
                <w:b/>
                <w:bCs/>
                <w:lang w:val="en-GB"/>
              </w:rPr>
              <w:t>Cost external</w:t>
            </w:r>
          </w:p>
        </w:tc>
        <w:tc>
          <w:tcPr>
            <w:tcW w:w="1616" w:type="dxa"/>
          </w:tcPr>
          <w:p w14:paraId="5C12316B" w14:textId="77777777" w:rsidR="00B428DF" w:rsidRPr="000F0625" w:rsidRDefault="00B428DF" w:rsidP="00080905">
            <w:pPr>
              <w:spacing w:line="480" w:lineRule="auto"/>
              <w:jc w:val="both"/>
              <w:rPr>
                <w:b/>
                <w:bCs/>
                <w:lang w:val="en-GB"/>
              </w:rPr>
            </w:pPr>
            <w:r w:rsidRPr="000F0625">
              <w:rPr>
                <w:b/>
                <w:bCs/>
                <w:lang w:val="en-GB"/>
              </w:rPr>
              <w:t>Cost private</w:t>
            </w:r>
          </w:p>
        </w:tc>
        <w:tc>
          <w:tcPr>
            <w:tcW w:w="2931" w:type="dxa"/>
          </w:tcPr>
          <w:p w14:paraId="40FEB33B" w14:textId="77777777" w:rsidR="00B428DF" w:rsidRPr="000F0625" w:rsidRDefault="00B428DF" w:rsidP="00080905">
            <w:pPr>
              <w:spacing w:line="480" w:lineRule="auto"/>
              <w:jc w:val="both"/>
              <w:rPr>
                <w:b/>
                <w:bCs/>
                <w:lang w:val="en-GB"/>
              </w:rPr>
            </w:pPr>
            <w:r w:rsidRPr="000F0625">
              <w:rPr>
                <w:b/>
                <w:bCs/>
                <w:lang w:val="en-GB"/>
              </w:rPr>
              <w:t>Reference</w:t>
            </w:r>
          </w:p>
        </w:tc>
      </w:tr>
      <w:tr w:rsidR="00B428DF" w:rsidRPr="000F0625" w14:paraId="5DD35847" w14:textId="77777777" w:rsidTr="00080905">
        <w:trPr>
          <w:trHeight w:val="296"/>
        </w:trPr>
        <w:tc>
          <w:tcPr>
            <w:tcW w:w="2675" w:type="dxa"/>
          </w:tcPr>
          <w:p w14:paraId="4B3D51A2" w14:textId="77777777" w:rsidR="00B428DF" w:rsidRPr="000F0625" w:rsidRDefault="00B428DF" w:rsidP="00080905">
            <w:pPr>
              <w:spacing w:line="480" w:lineRule="auto"/>
              <w:jc w:val="both"/>
              <w:rPr>
                <w:bCs/>
                <w:lang w:val="en-GB"/>
              </w:rPr>
            </w:pPr>
            <w:r w:rsidRPr="000F0625">
              <w:rPr>
                <w:bCs/>
                <w:lang w:val="en-GB"/>
              </w:rPr>
              <w:t>Pollutants to soil and water</w:t>
            </w:r>
          </w:p>
        </w:tc>
        <w:tc>
          <w:tcPr>
            <w:tcW w:w="1884" w:type="dxa"/>
          </w:tcPr>
          <w:p w14:paraId="0A7193B0" w14:textId="77777777" w:rsidR="00B428DF" w:rsidRPr="000F0625" w:rsidRDefault="00B428DF" w:rsidP="00080905">
            <w:pPr>
              <w:spacing w:line="480" w:lineRule="auto"/>
              <w:jc w:val="both"/>
              <w:rPr>
                <w:bCs/>
                <w:lang w:val="en-GB"/>
              </w:rPr>
            </w:pPr>
            <w:r w:rsidRPr="000F0625">
              <w:rPr>
                <w:bCs/>
                <w:lang w:val="en-GB"/>
              </w:rPr>
              <w:t>&lt;€</w:t>
            </w:r>
            <w:r w:rsidRPr="000F0625">
              <w:rPr>
                <w:bCs/>
                <w:vertAlign w:val="subscript"/>
                <w:lang w:val="en-GB"/>
              </w:rPr>
              <w:t>2017</w:t>
            </w:r>
            <w:r w:rsidRPr="000F0625">
              <w:rPr>
                <w:bCs/>
                <w:lang w:val="en-GB"/>
              </w:rPr>
              <w:t>0.001/pkm</w:t>
            </w:r>
          </w:p>
        </w:tc>
        <w:tc>
          <w:tcPr>
            <w:tcW w:w="1616" w:type="dxa"/>
          </w:tcPr>
          <w:p w14:paraId="423B86A0" w14:textId="77777777" w:rsidR="00B428DF" w:rsidRPr="000F0625" w:rsidRDefault="00B428DF" w:rsidP="00080905">
            <w:pPr>
              <w:spacing w:line="480" w:lineRule="auto"/>
              <w:jc w:val="both"/>
              <w:rPr>
                <w:bCs/>
                <w:lang w:val="en-GB"/>
              </w:rPr>
            </w:pPr>
            <w:r w:rsidRPr="000F0625">
              <w:rPr>
                <w:bCs/>
                <w:lang w:val="en-GB"/>
              </w:rPr>
              <w:t>0</w:t>
            </w:r>
          </w:p>
        </w:tc>
        <w:tc>
          <w:tcPr>
            <w:tcW w:w="2931" w:type="dxa"/>
          </w:tcPr>
          <w:p w14:paraId="00A8911B" w14:textId="77777777" w:rsidR="00B428DF" w:rsidRPr="000F0625" w:rsidRDefault="00B428DF" w:rsidP="00080905">
            <w:pPr>
              <w:spacing w:line="480" w:lineRule="auto"/>
              <w:jc w:val="both"/>
              <w:rPr>
                <w:bCs/>
                <w:lang w:val="en-GB"/>
              </w:rPr>
            </w:pPr>
            <w:r>
              <w:rPr>
                <w:bCs/>
                <w:lang w:val="en-GB"/>
              </w:rPr>
              <w:t>Authors</w:t>
            </w:r>
          </w:p>
        </w:tc>
      </w:tr>
    </w:tbl>
    <w:p w14:paraId="0FEE80BA" w14:textId="77777777" w:rsidR="00B428DF" w:rsidRDefault="00B428DF" w:rsidP="00B428DF">
      <w:pPr>
        <w:spacing w:line="480" w:lineRule="auto"/>
        <w:jc w:val="both"/>
        <w:rPr>
          <w:bCs/>
        </w:rPr>
      </w:pPr>
    </w:p>
    <w:p w14:paraId="4BCD11D9" w14:textId="77777777" w:rsidR="00B428DF" w:rsidRPr="000F0625" w:rsidRDefault="00B428DF" w:rsidP="00B428DF">
      <w:pPr>
        <w:spacing w:line="480" w:lineRule="auto"/>
        <w:jc w:val="both"/>
        <w:rPr>
          <w:bCs/>
        </w:rPr>
      </w:pPr>
    </w:p>
    <w:p w14:paraId="1532871A"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Land use and infrastructure</w:t>
      </w:r>
    </w:p>
    <w:p w14:paraId="4E75BF0B" w14:textId="77777777" w:rsidR="00B428DF" w:rsidRPr="000F0625" w:rsidRDefault="00B428DF" w:rsidP="00B428DF">
      <w:pPr>
        <w:spacing w:line="480" w:lineRule="auto"/>
        <w:jc w:val="both"/>
        <w:rPr>
          <w:bCs/>
        </w:rPr>
      </w:pPr>
      <w:r w:rsidRPr="000F0625">
        <w:rPr>
          <w:bCs/>
        </w:rPr>
        <w:t xml:space="preserve">The IEA (2013) suggests that space requirements for transport infrastructure </w:t>
      </w:r>
      <w:r>
        <w:rPr>
          <w:bCs/>
        </w:rPr>
        <w:t>are</w:t>
      </w:r>
      <w:r w:rsidRPr="000F0625">
        <w:rPr>
          <w:bCs/>
        </w:rPr>
        <w:t xml:space="preserve"> in the order of 25 million paved road km as well as 44,500 km</w:t>
      </w:r>
      <w:r w:rsidRPr="000F0625">
        <w:rPr>
          <w:bCs/>
          <w:vertAlign w:val="superscript"/>
        </w:rPr>
        <w:t>2</w:t>
      </w:r>
      <w:r w:rsidRPr="000F0625">
        <w:rPr>
          <w:bCs/>
        </w:rPr>
        <w:t xml:space="preserve"> of parking space</w:t>
      </w:r>
      <w:r>
        <w:rPr>
          <w:bCs/>
        </w:rPr>
        <w:t xml:space="preserve"> to 2050</w:t>
      </w:r>
      <w:r w:rsidRPr="000F0625">
        <w:rPr>
          <w:bCs/>
        </w:rPr>
        <w:t xml:space="preserve">. This entails an estimated </w:t>
      </w:r>
      <w:r>
        <w:rPr>
          <w:bCs/>
        </w:rPr>
        <w:t xml:space="preserve">average annual </w:t>
      </w:r>
      <w:r w:rsidRPr="000F0625">
        <w:rPr>
          <w:bCs/>
        </w:rPr>
        <w:t>cost of about US$</w:t>
      </w:r>
      <w:r w:rsidRPr="000F0625">
        <w:rPr>
          <w:bCs/>
          <w:vertAlign w:val="subscript"/>
        </w:rPr>
        <w:t>2017</w:t>
      </w:r>
      <w:r>
        <w:rPr>
          <w:bCs/>
        </w:rPr>
        <w:t>843 billion (</w:t>
      </w:r>
      <w:r w:rsidRPr="000F0625">
        <w:rPr>
          <w:bCs/>
        </w:rPr>
        <w:t xml:space="preserve">road construction) </w:t>
      </w:r>
      <w:r>
        <w:rPr>
          <w:bCs/>
        </w:rPr>
        <w:t>and</w:t>
      </w:r>
      <w:r w:rsidRPr="000F0625">
        <w:rPr>
          <w:bCs/>
        </w:rPr>
        <w:t xml:space="preserve"> US$</w:t>
      </w:r>
      <w:r w:rsidRPr="000F0625">
        <w:rPr>
          <w:bCs/>
          <w:vertAlign w:val="subscript"/>
        </w:rPr>
        <w:t>2017</w:t>
      </w:r>
      <w:r>
        <w:rPr>
          <w:bCs/>
        </w:rPr>
        <w:t>225 billion (</w:t>
      </w:r>
      <w:r w:rsidRPr="000F0625">
        <w:rPr>
          <w:bCs/>
        </w:rPr>
        <w:t xml:space="preserve">parking). Assuming that most parking and a higher share of road construction (80%) are necessary to meet the growing transport demand of passenger cars, the annual cost of new infrastructure </w:t>
      </w:r>
      <w:r>
        <w:rPr>
          <w:bCs/>
        </w:rPr>
        <w:t>(€</w:t>
      </w:r>
      <w:r w:rsidRPr="000F0625">
        <w:rPr>
          <w:bCs/>
          <w:vertAlign w:val="subscript"/>
        </w:rPr>
        <w:t>2017</w:t>
      </w:r>
      <w:r>
        <w:rPr>
          <w:bCs/>
        </w:rPr>
        <w:t>801</w:t>
      </w:r>
      <w:r w:rsidRPr="000F0625">
        <w:rPr>
          <w:bCs/>
        </w:rPr>
        <w:t xml:space="preserve"> billion</w:t>
      </w:r>
      <w:r>
        <w:rPr>
          <w:bCs/>
        </w:rPr>
        <w:t>)</w:t>
      </w:r>
      <w:r w:rsidRPr="000F0625">
        <w:rPr>
          <w:bCs/>
        </w:rPr>
        <w:t xml:space="preserve"> can be compared to the additional transport demand it enables (64.5 trillion pkm). Assuming linear growth in new transport capacity, total new capacity (42.5 trillion pkm by 2050) will accommodate transport demand </w:t>
      </w:r>
      <w:r>
        <w:rPr>
          <w:bCs/>
        </w:rPr>
        <w:t xml:space="preserve">growth </w:t>
      </w:r>
      <w:r w:rsidRPr="000F0625">
        <w:rPr>
          <w:bCs/>
        </w:rPr>
        <w:t>of 20 trillion pkm per year</w:t>
      </w:r>
      <w:r>
        <w:rPr>
          <w:bCs/>
        </w:rPr>
        <w:t>,</w:t>
      </w:r>
      <w:r w:rsidRPr="000F0625">
        <w:rPr>
          <w:bCs/>
        </w:rPr>
        <w:t xml:space="preserve"> if averaged over 40 years. This results in a cost of €</w:t>
      </w:r>
      <w:r w:rsidRPr="000F0625">
        <w:rPr>
          <w:bCs/>
          <w:vertAlign w:val="subscript"/>
        </w:rPr>
        <w:t>2017</w:t>
      </w:r>
      <w:r w:rsidRPr="000F0625">
        <w:rPr>
          <w:bCs/>
        </w:rPr>
        <w:t>0.040/pkm (global average). It is evident that the cost of land use for cycling infrastructure and parking, or boardwalks for walking, is only a fraction of the cost of automobility (Erznoznik et al. 2014), here estimated at an estimated 10% of car infrastructure (€</w:t>
      </w:r>
      <w:r w:rsidRPr="000F0625">
        <w:rPr>
          <w:bCs/>
          <w:vertAlign w:val="subscript"/>
        </w:rPr>
        <w:t>2017</w:t>
      </w:r>
      <w:r w:rsidRPr="000F0625">
        <w:rPr>
          <w:bCs/>
        </w:rPr>
        <w:t>0.003/pkm). Notably, the value of lost ecosystem services as well as agricultural productivity, which may not be reflected in market pr</w:t>
      </w:r>
      <w:r>
        <w:rPr>
          <w:bCs/>
        </w:rPr>
        <w:t>ices, would have to be added.</w:t>
      </w:r>
    </w:p>
    <w:p w14:paraId="162EF798" w14:textId="77777777" w:rsidR="00B428DF" w:rsidRPr="000F0625" w:rsidRDefault="00B428DF" w:rsidP="00B428DF">
      <w:pPr>
        <w:spacing w:line="480" w:lineRule="auto"/>
        <w:jc w:val="both"/>
        <w:rPr>
          <w:bCs/>
        </w:rPr>
      </w:pPr>
    </w:p>
    <w:p w14:paraId="22DD3998" w14:textId="77777777" w:rsidR="00B428DF" w:rsidRDefault="00B428DF" w:rsidP="00B428DF">
      <w:pPr>
        <w:spacing w:line="480" w:lineRule="auto"/>
        <w:jc w:val="both"/>
      </w:pPr>
      <w:r w:rsidRPr="000F0625">
        <w:t xml:space="preserve">To reflect the economic value of land used for infrastructure, </w:t>
      </w:r>
      <w:r>
        <w:t>Litman and Doherty</w:t>
      </w:r>
      <w:r w:rsidRPr="000F0625">
        <w:t xml:space="preserve"> (201</w:t>
      </w:r>
      <w:r>
        <w:t>1</w:t>
      </w:r>
      <w:r w:rsidRPr="000F0625">
        <w:t>) suggest a value for Canada that is €</w:t>
      </w:r>
      <w:r w:rsidRPr="000F0625">
        <w:rPr>
          <w:vertAlign w:val="subscript"/>
        </w:rPr>
        <w:t>2017</w:t>
      </w:r>
      <w:r w:rsidRPr="000F0625">
        <w:t>0.015/pkm. The equivalent cost for bicycles/</w:t>
      </w:r>
      <w:r>
        <w:t>w</w:t>
      </w:r>
      <w:r w:rsidRPr="000F0625">
        <w:t>alking is €</w:t>
      </w:r>
      <w:r w:rsidRPr="000F0625">
        <w:rPr>
          <w:vertAlign w:val="subscript"/>
        </w:rPr>
        <w:t>2017</w:t>
      </w:r>
      <w:r w:rsidRPr="000F0625">
        <w:t>0.001/pkm. Parking also incurs a land cost that is partially private (residential parking</w:t>
      </w:r>
      <w:r>
        <w:t>)</w:t>
      </w:r>
      <w:r w:rsidRPr="000F0625">
        <w:t xml:space="preserve"> partially </w:t>
      </w:r>
      <w:r>
        <w:t>external</w:t>
      </w:r>
      <w:r w:rsidRPr="000F0625">
        <w:t xml:space="preserve"> (off-street parking that is uncharged), amounting to €</w:t>
      </w:r>
      <w:r w:rsidRPr="000F0625">
        <w:rPr>
          <w:vertAlign w:val="subscript"/>
        </w:rPr>
        <w:t>2017</w:t>
      </w:r>
      <w:r w:rsidRPr="000F0625">
        <w:t xml:space="preserve">0.029/pkm (private) </w:t>
      </w:r>
      <w:r w:rsidRPr="000F0625">
        <w:lastRenderedPageBreak/>
        <w:t>and €</w:t>
      </w:r>
      <w:r w:rsidRPr="000F0625">
        <w:rPr>
          <w:vertAlign w:val="subscript"/>
        </w:rPr>
        <w:t>2017</w:t>
      </w:r>
      <w:r w:rsidRPr="000F0625">
        <w:t>0.027/pkm (</w:t>
      </w:r>
      <w:r>
        <w:t>external</w:t>
      </w:r>
      <w:r w:rsidRPr="000F0625">
        <w:t xml:space="preserve">). </w:t>
      </w:r>
      <w:r>
        <w:t xml:space="preserve">Litman and Doherty (2011) values are adjusted to European area GDP, at 76% of Canada’s GDP. This results in new infrastructure cost of </w:t>
      </w:r>
      <w:r w:rsidRPr="000F0625">
        <w:t>€</w:t>
      </w:r>
      <w:r w:rsidRPr="000F0625">
        <w:rPr>
          <w:vertAlign w:val="subscript"/>
        </w:rPr>
        <w:t>2017</w:t>
      </w:r>
      <w:r>
        <w:t>0.030</w:t>
      </w:r>
      <w:r w:rsidRPr="000F0625">
        <w:t>/pkm</w:t>
      </w:r>
      <w:r>
        <w:t xml:space="preserve"> (cars, external), </w:t>
      </w:r>
      <w:r w:rsidRPr="000F0625">
        <w:t>€</w:t>
      </w:r>
      <w:r w:rsidRPr="000F0625">
        <w:rPr>
          <w:vertAlign w:val="subscript"/>
        </w:rPr>
        <w:t>2017</w:t>
      </w:r>
      <w:r w:rsidRPr="000F0625">
        <w:t>0.00</w:t>
      </w:r>
      <w:r>
        <w:t>2</w:t>
      </w:r>
      <w:r w:rsidRPr="000F0625">
        <w:t>/pkm</w:t>
      </w:r>
      <w:r>
        <w:t xml:space="preserve"> (cycling/walking, external) as well as </w:t>
      </w:r>
      <w:r w:rsidRPr="000F0625">
        <w:t>€</w:t>
      </w:r>
      <w:r w:rsidRPr="000F0625">
        <w:rPr>
          <w:vertAlign w:val="subscript"/>
        </w:rPr>
        <w:t>2017</w:t>
      </w:r>
      <w:r>
        <w:t>0.022</w:t>
      </w:r>
      <w:r w:rsidRPr="000F0625">
        <w:t>/pkm</w:t>
      </w:r>
      <w:r>
        <w:t xml:space="preserve"> (car private). Roadway land use cost is in the order of </w:t>
      </w:r>
      <w:r w:rsidRPr="000F0625">
        <w:t>€</w:t>
      </w:r>
      <w:r w:rsidRPr="000F0625">
        <w:rPr>
          <w:vertAlign w:val="subscript"/>
        </w:rPr>
        <w:t>2017</w:t>
      </w:r>
      <w:r>
        <w:t>0.01</w:t>
      </w:r>
      <w:r w:rsidRPr="000F0625">
        <w:t>1/pkm</w:t>
      </w:r>
      <w:r>
        <w:t xml:space="preserve"> (car external) and &lt; </w:t>
      </w:r>
      <w:r w:rsidRPr="000F0625">
        <w:t>€</w:t>
      </w:r>
      <w:r w:rsidRPr="000F0625">
        <w:rPr>
          <w:vertAlign w:val="subscript"/>
        </w:rPr>
        <w:t>2017</w:t>
      </w:r>
      <w:r w:rsidRPr="000F0625">
        <w:t>0.001/pkm</w:t>
      </w:r>
      <w:r>
        <w:t xml:space="preserve"> for bicycles and walking. Parking land use costs are </w:t>
      </w:r>
      <w:r w:rsidRPr="000F0625">
        <w:t>€</w:t>
      </w:r>
      <w:r w:rsidRPr="000F0625">
        <w:rPr>
          <w:vertAlign w:val="subscript"/>
        </w:rPr>
        <w:t>2017</w:t>
      </w:r>
      <w:r>
        <w:t>0.021</w:t>
      </w:r>
      <w:r w:rsidRPr="000F0625">
        <w:t>/pkm</w:t>
      </w:r>
      <w:r>
        <w:t xml:space="preserve"> for cars (external) and </w:t>
      </w:r>
      <w:r w:rsidRPr="000F0625">
        <w:t>€</w:t>
      </w:r>
      <w:r w:rsidRPr="000F0625">
        <w:rPr>
          <w:vertAlign w:val="subscript"/>
        </w:rPr>
        <w:t>2017</w:t>
      </w:r>
      <w:r>
        <w:t>0.022</w:t>
      </w:r>
      <w:r w:rsidRPr="000F0625">
        <w:t>/pkm</w:t>
      </w:r>
      <w:r>
        <w:t xml:space="preserve"> (private). Again, these are &lt; </w:t>
      </w:r>
      <w:r w:rsidRPr="000F0625">
        <w:t>€</w:t>
      </w:r>
      <w:r w:rsidRPr="000F0625">
        <w:rPr>
          <w:vertAlign w:val="subscript"/>
        </w:rPr>
        <w:t>2017</w:t>
      </w:r>
      <w:r w:rsidRPr="000F0625">
        <w:t>0.001/pkm</w:t>
      </w:r>
      <w:r>
        <w:t xml:space="preserve"> for bicycles, while there is no parking cost for walking. </w:t>
      </w:r>
    </w:p>
    <w:p w14:paraId="1BF7389D" w14:textId="77777777" w:rsidR="00B428DF" w:rsidRDefault="00B428DF" w:rsidP="00B428DF">
      <w:pPr>
        <w:spacing w:line="480" w:lineRule="auto"/>
        <w:jc w:val="both"/>
      </w:pPr>
    </w:p>
    <w:p w14:paraId="7643A1F1" w14:textId="77777777" w:rsidR="00B428DF" w:rsidRPr="000F0625" w:rsidRDefault="00B428DF" w:rsidP="00B428DF">
      <w:pPr>
        <w:spacing w:line="480" w:lineRule="auto"/>
        <w:jc w:val="both"/>
      </w:pPr>
      <w:r w:rsidRPr="000F0625">
        <w:t>Ecosystem services lost as a result of traffic infrastructure construction are not considered here though their value is potentially significant (Costanza et al. 1997).</w:t>
      </w:r>
    </w:p>
    <w:p w14:paraId="1BA8A2A0" w14:textId="77777777" w:rsidR="00B428DF" w:rsidRPr="000F0625" w:rsidRDefault="00B428DF" w:rsidP="00B428DF">
      <w:pPr>
        <w:spacing w:line="480" w:lineRule="auto"/>
        <w:jc w:val="both"/>
      </w:pPr>
    </w:p>
    <w:p w14:paraId="2F738235" w14:textId="77777777" w:rsidR="00B428DF" w:rsidRPr="000F0625" w:rsidRDefault="00B428DF" w:rsidP="00B428DF">
      <w:pPr>
        <w:spacing w:line="480" w:lineRule="auto"/>
        <w:jc w:val="both"/>
        <w:rPr>
          <w:b/>
        </w:rPr>
      </w:pPr>
      <w:r w:rsidRPr="000F0625">
        <w:rPr>
          <w:b/>
        </w:rPr>
        <w:t xml:space="preserve">Table </w:t>
      </w:r>
      <w:r>
        <w:rPr>
          <w:b/>
        </w:rPr>
        <w:t>6</w:t>
      </w:r>
      <w:r w:rsidRPr="000F0625">
        <w:rPr>
          <w:b/>
        </w:rPr>
        <w:t>: Cost assessment of land use</w:t>
      </w:r>
    </w:p>
    <w:tbl>
      <w:tblPr>
        <w:tblStyle w:val="Tabelraster"/>
        <w:tblW w:w="9544" w:type="dxa"/>
        <w:tblInd w:w="108" w:type="dxa"/>
        <w:tblLook w:val="04A0" w:firstRow="1" w:lastRow="0" w:firstColumn="1" w:lastColumn="0" w:noHBand="0" w:noVBand="1"/>
      </w:tblPr>
      <w:tblGrid>
        <w:gridCol w:w="3306"/>
        <w:gridCol w:w="1678"/>
        <w:gridCol w:w="1678"/>
        <w:gridCol w:w="2882"/>
      </w:tblGrid>
      <w:tr w:rsidR="00B428DF" w:rsidRPr="000F0625" w14:paraId="79152F33" w14:textId="77777777" w:rsidTr="00080905">
        <w:tc>
          <w:tcPr>
            <w:tcW w:w="3306" w:type="dxa"/>
          </w:tcPr>
          <w:p w14:paraId="7D56F9ED" w14:textId="77777777" w:rsidR="00B428DF" w:rsidRPr="000F0625" w:rsidRDefault="00B428DF" w:rsidP="00080905">
            <w:pPr>
              <w:spacing w:line="480" w:lineRule="auto"/>
              <w:jc w:val="both"/>
              <w:rPr>
                <w:b/>
                <w:lang w:val="en-GB"/>
              </w:rPr>
            </w:pPr>
            <w:r w:rsidRPr="000F0625">
              <w:rPr>
                <w:b/>
                <w:lang w:val="en-GB"/>
              </w:rPr>
              <w:t>Assessment Cars</w:t>
            </w:r>
          </w:p>
        </w:tc>
        <w:tc>
          <w:tcPr>
            <w:tcW w:w="1678" w:type="dxa"/>
          </w:tcPr>
          <w:p w14:paraId="0CBEEEAA" w14:textId="77777777" w:rsidR="00B428DF" w:rsidRPr="000F0625" w:rsidRDefault="00B428DF" w:rsidP="00080905">
            <w:pPr>
              <w:spacing w:line="480" w:lineRule="auto"/>
              <w:jc w:val="both"/>
              <w:rPr>
                <w:b/>
                <w:lang w:val="en-GB"/>
              </w:rPr>
            </w:pPr>
            <w:r>
              <w:rPr>
                <w:b/>
                <w:lang w:val="en-GB"/>
              </w:rPr>
              <w:t>Cost external</w:t>
            </w:r>
          </w:p>
        </w:tc>
        <w:tc>
          <w:tcPr>
            <w:tcW w:w="1678" w:type="dxa"/>
          </w:tcPr>
          <w:p w14:paraId="13D6A316" w14:textId="77777777" w:rsidR="00B428DF" w:rsidRPr="000F0625" w:rsidRDefault="00B428DF" w:rsidP="00080905">
            <w:pPr>
              <w:spacing w:line="480" w:lineRule="auto"/>
              <w:jc w:val="both"/>
              <w:rPr>
                <w:b/>
                <w:lang w:val="en-GB"/>
              </w:rPr>
            </w:pPr>
            <w:r w:rsidRPr="000F0625">
              <w:rPr>
                <w:b/>
                <w:lang w:val="en-GB"/>
              </w:rPr>
              <w:t>Cost private</w:t>
            </w:r>
          </w:p>
        </w:tc>
        <w:tc>
          <w:tcPr>
            <w:tcW w:w="2882" w:type="dxa"/>
          </w:tcPr>
          <w:p w14:paraId="2C3B46BB"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61645BF6" w14:textId="77777777" w:rsidTr="00080905">
        <w:trPr>
          <w:trHeight w:val="296"/>
        </w:trPr>
        <w:tc>
          <w:tcPr>
            <w:tcW w:w="3306" w:type="dxa"/>
          </w:tcPr>
          <w:p w14:paraId="3CC0AB5E" w14:textId="77777777" w:rsidR="00B428DF" w:rsidRPr="000F0625" w:rsidRDefault="00B428DF" w:rsidP="00080905">
            <w:pPr>
              <w:spacing w:line="480" w:lineRule="auto"/>
              <w:rPr>
                <w:lang w:val="en-GB"/>
              </w:rPr>
            </w:pPr>
            <w:r w:rsidRPr="000F0625">
              <w:rPr>
                <w:lang w:val="en-GB"/>
              </w:rPr>
              <w:t>New infrastructure construction (roads/parking)</w:t>
            </w:r>
          </w:p>
        </w:tc>
        <w:tc>
          <w:tcPr>
            <w:tcW w:w="1678" w:type="dxa"/>
          </w:tcPr>
          <w:p w14:paraId="467B0818"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Pr>
                <w:lang w:val="en-GB"/>
              </w:rPr>
              <w:t>0.03</w:t>
            </w:r>
            <w:r w:rsidRPr="000F0625">
              <w:rPr>
                <w:lang w:val="en-GB"/>
              </w:rPr>
              <w:t>0/pkm</w:t>
            </w:r>
          </w:p>
        </w:tc>
        <w:tc>
          <w:tcPr>
            <w:tcW w:w="1678" w:type="dxa"/>
          </w:tcPr>
          <w:p w14:paraId="78F25D7A" w14:textId="77777777" w:rsidR="00B428DF" w:rsidRPr="000F0625" w:rsidRDefault="00B428DF" w:rsidP="00080905">
            <w:pPr>
              <w:spacing w:line="480" w:lineRule="auto"/>
              <w:jc w:val="right"/>
              <w:rPr>
                <w:lang w:val="en-GB"/>
              </w:rPr>
            </w:pPr>
            <w:r w:rsidRPr="000F0625">
              <w:rPr>
                <w:lang w:val="en-GB"/>
              </w:rPr>
              <w:t>0</w:t>
            </w:r>
          </w:p>
        </w:tc>
        <w:tc>
          <w:tcPr>
            <w:tcW w:w="2882" w:type="dxa"/>
          </w:tcPr>
          <w:p w14:paraId="04F90C95" w14:textId="77777777" w:rsidR="00B428DF" w:rsidRPr="000F0625" w:rsidRDefault="00B428DF" w:rsidP="00080905">
            <w:pPr>
              <w:spacing w:line="480" w:lineRule="auto"/>
              <w:jc w:val="both"/>
              <w:rPr>
                <w:lang w:val="en-GB"/>
              </w:rPr>
            </w:pPr>
            <w:r w:rsidRPr="000F0625">
              <w:rPr>
                <w:lang w:val="en-GB"/>
              </w:rPr>
              <w:t>IEA 2013</w:t>
            </w:r>
          </w:p>
        </w:tc>
      </w:tr>
      <w:tr w:rsidR="00B428DF" w:rsidRPr="000F0625" w14:paraId="760D570A" w14:textId="77777777" w:rsidTr="00080905">
        <w:trPr>
          <w:trHeight w:val="296"/>
        </w:trPr>
        <w:tc>
          <w:tcPr>
            <w:tcW w:w="3306" w:type="dxa"/>
          </w:tcPr>
          <w:p w14:paraId="6228D02B" w14:textId="77777777" w:rsidR="00B428DF" w:rsidRPr="000F0625" w:rsidRDefault="00B428DF" w:rsidP="00080905">
            <w:pPr>
              <w:spacing w:line="480" w:lineRule="auto"/>
              <w:rPr>
                <w:lang w:val="en-GB"/>
              </w:rPr>
            </w:pPr>
            <w:r w:rsidRPr="000F0625">
              <w:rPr>
                <w:lang w:val="en-GB"/>
              </w:rPr>
              <w:t xml:space="preserve">Roadway land use </w:t>
            </w:r>
          </w:p>
        </w:tc>
        <w:tc>
          <w:tcPr>
            <w:tcW w:w="1678" w:type="dxa"/>
          </w:tcPr>
          <w:p w14:paraId="52C6FFB9"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0.01</w:t>
            </w:r>
            <w:r>
              <w:rPr>
                <w:lang w:val="en-GB"/>
              </w:rPr>
              <w:t>1</w:t>
            </w:r>
            <w:r w:rsidRPr="000F0625">
              <w:rPr>
                <w:lang w:val="en-GB"/>
              </w:rPr>
              <w:t>/pkm</w:t>
            </w:r>
          </w:p>
        </w:tc>
        <w:tc>
          <w:tcPr>
            <w:tcW w:w="1678" w:type="dxa"/>
          </w:tcPr>
          <w:p w14:paraId="374D50F2" w14:textId="77777777" w:rsidR="00B428DF" w:rsidRPr="000F0625" w:rsidRDefault="00B428DF" w:rsidP="00080905">
            <w:pPr>
              <w:spacing w:line="480" w:lineRule="auto"/>
              <w:jc w:val="right"/>
              <w:rPr>
                <w:lang w:val="en-GB"/>
              </w:rPr>
            </w:pPr>
            <w:r w:rsidRPr="000F0625">
              <w:rPr>
                <w:lang w:val="en-GB"/>
              </w:rPr>
              <w:t>0</w:t>
            </w:r>
          </w:p>
        </w:tc>
        <w:tc>
          <w:tcPr>
            <w:tcW w:w="2882" w:type="dxa"/>
          </w:tcPr>
          <w:p w14:paraId="2C272D9B" w14:textId="77777777" w:rsidR="00B428DF" w:rsidRPr="000F0625" w:rsidRDefault="00B428DF" w:rsidP="00080905">
            <w:pPr>
              <w:spacing w:line="480" w:lineRule="auto"/>
              <w:jc w:val="both"/>
              <w:rPr>
                <w:lang w:val="en-GB"/>
              </w:rPr>
            </w:pPr>
            <w:r>
              <w:t>Litman and Doherty, 2011</w:t>
            </w:r>
          </w:p>
        </w:tc>
      </w:tr>
      <w:tr w:rsidR="00B428DF" w:rsidRPr="000F0625" w14:paraId="5D8189E0" w14:textId="77777777" w:rsidTr="00080905">
        <w:trPr>
          <w:trHeight w:val="296"/>
        </w:trPr>
        <w:tc>
          <w:tcPr>
            <w:tcW w:w="3306" w:type="dxa"/>
          </w:tcPr>
          <w:p w14:paraId="78D122A0" w14:textId="77777777" w:rsidR="00B428DF" w:rsidRPr="000F0625" w:rsidRDefault="00B428DF" w:rsidP="00080905">
            <w:pPr>
              <w:spacing w:line="480" w:lineRule="auto"/>
              <w:rPr>
                <w:lang w:val="en-GB"/>
              </w:rPr>
            </w:pPr>
            <w:r w:rsidRPr="000F0625">
              <w:rPr>
                <w:lang w:val="en-GB"/>
              </w:rPr>
              <w:t>Parking land use</w:t>
            </w:r>
          </w:p>
        </w:tc>
        <w:tc>
          <w:tcPr>
            <w:tcW w:w="1678" w:type="dxa"/>
          </w:tcPr>
          <w:p w14:paraId="0A2A480B"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0.0</w:t>
            </w:r>
            <w:r>
              <w:rPr>
                <w:lang w:val="en-GB"/>
              </w:rPr>
              <w:t>21</w:t>
            </w:r>
            <w:r w:rsidRPr="000F0625">
              <w:rPr>
                <w:lang w:val="en-GB"/>
              </w:rPr>
              <w:t>/pkm</w:t>
            </w:r>
          </w:p>
        </w:tc>
        <w:tc>
          <w:tcPr>
            <w:tcW w:w="1678" w:type="dxa"/>
          </w:tcPr>
          <w:p w14:paraId="131A817A"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0.02</w:t>
            </w:r>
            <w:r>
              <w:rPr>
                <w:lang w:val="en-GB"/>
              </w:rPr>
              <w:t>2</w:t>
            </w:r>
            <w:r w:rsidRPr="000F0625">
              <w:rPr>
                <w:lang w:val="en-GB"/>
              </w:rPr>
              <w:t>/pkm</w:t>
            </w:r>
          </w:p>
        </w:tc>
        <w:tc>
          <w:tcPr>
            <w:tcW w:w="2882" w:type="dxa"/>
          </w:tcPr>
          <w:p w14:paraId="7AE5D0A0" w14:textId="77777777" w:rsidR="00B428DF" w:rsidRPr="000F0625" w:rsidRDefault="00B428DF" w:rsidP="00080905">
            <w:pPr>
              <w:spacing w:line="480" w:lineRule="auto"/>
              <w:jc w:val="both"/>
              <w:rPr>
                <w:lang w:val="en-GB"/>
              </w:rPr>
            </w:pPr>
            <w:r>
              <w:t>Litman and Doherty, 2011</w:t>
            </w:r>
          </w:p>
        </w:tc>
      </w:tr>
      <w:tr w:rsidR="00B428DF" w:rsidRPr="000F0625" w14:paraId="3D31FAB3" w14:textId="77777777" w:rsidTr="00080905">
        <w:trPr>
          <w:trHeight w:val="296"/>
        </w:trPr>
        <w:tc>
          <w:tcPr>
            <w:tcW w:w="3306" w:type="dxa"/>
          </w:tcPr>
          <w:p w14:paraId="4D934B0A" w14:textId="77777777" w:rsidR="00B428DF" w:rsidRPr="000F0625" w:rsidRDefault="00B428DF" w:rsidP="00080905">
            <w:pPr>
              <w:spacing w:line="480" w:lineRule="auto"/>
              <w:rPr>
                <w:lang w:val="en-GB"/>
              </w:rPr>
            </w:pPr>
            <w:r w:rsidRPr="000F0625">
              <w:rPr>
                <w:lang w:val="en-GB"/>
              </w:rPr>
              <w:t>Lost ecosystem services</w:t>
            </w:r>
          </w:p>
        </w:tc>
        <w:tc>
          <w:tcPr>
            <w:tcW w:w="1678" w:type="dxa"/>
          </w:tcPr>
          <w:p w14:paraId="26B2915B" w14:textId="77777777" w:rsidR="00B428DF" w:rsidRPr="000F0625" w:rsidRDefault="00B428DF" w:rsidP="00080905">
            <w:pPr>
              <w:spacing w:line="480" w:lineRule="auto"/>
              <w:jc w:val="right"/>
              <w:rPr>
                <w:lang w:val="en-GB"/>
              </w:rPr>
            </w:pPr>
            <w:r w:rsidRPr="000F0625">
              <w:rPr>
                <w:lang w:val="en-GB"/>
              </w:rPr>
              <w:t>?</w:t>
            </w:r>
          </w:p>
        </w:tc>
        <w:tc>
          <w:tcPr>
            <w:tcW w:w="1678" w:type="dxa"/>
          </w:tcPr>
          <w:p w14:paraId="2B7F17EB" w14:textId="77777777" w:rsidR="00B428DF" w:rsidRPr="000F0625" w:rsidRDefault="00B428DF" w:rsidP="00080905">
            <w:pPr>
              <w:spacing w:line="480" w:lineRule="auto"/>
              <w:jc w:val="right"/>
              <w:rPr>
                <w:lang w:val="en-GB"/>
              </w:rPr>
            </w:pPr>
            <w:r w:rsidRPr="000F0625">
              <w:rPr>
                <w:lang w:val="en-GB"/>
              </w:rPr>
              <w:t>0</w:t>
            </w:r>
          </w:p>
        </w:tc>
        <w:tc>
          <w:tcPr>
            <w:tcW w:w="2882" w:type="dxa"/>
          </w:tcPr>
          <w:p w14:paraId="45C54D44" w14:textId="77777777" w:rsidR="00B428DF" w:rsidRPr="000F0625" w:rsidRDefault="00B428DF" w:rsidP="00080905">
            <w:pPr>
              <w:spacing w:line="480" w:lineRule="auto"/>
              <w:jc w:val="both"/>
              <w:rPr>
                <w:lang w:val="en-GB"/>
              </w:rPr>
            </w:pPr>
            <w:r w:rsidRPr="000F0625">
              <w:rPr>
                <w:lang w:val="en-GB"/>
              </w:rPr>
              <w:t>-</w:t>
            </w:r>
          </w:p>
        </w:tc>
      </w:tr>
      <w:tr w:rsidR="00B428DF" w:rsidRPr="000F0625" w14:paraId="139A79BB" w14:textId="77777777" w:rsidTr="00080905">
        <w:tc>
          <w:tcPr>
            <w:tcW w:w="3306" w:type="dxa"/>
          </w:tcPr>
          <w:p w14:paraId="416B8C6E" w14:textId="77777777" w:rsidR="00B428DF" w:rsidRPr="000F0625" w:rsidRDefault="00B428DF" w:rsidP="00080905">
            <w:pPr>
              <w:spacing w:line="480" w:lineRule="auto"/>
              <w:jc w:val="both"/>
              <w:rPr>
                <w:b/>
                <w:lang w:val="en-GB"/>
              </w:rPr>
            </w:pPr>
            <w:r w:rsidRPr="000F0625">
              <w:rPr>
                <w:b/>
                <w:lang w:val="en-GB"/>
              </w:rPr>
              <w:t>Assessment Bicycles</w:t>
            </w:r>
          </w:p>
        </w:tc>
        <w:tc>
          <w:tcPr>
            <w:tcW w:w="1678" w:type="dxa"/>
          </w:tcPr>
          <w:p w14:paraId="55F724E9" w14:textId="77777777" w:rsidR="00B428DF" w:rsidRPr="000F0625" w:rsidRDefault="00B428DF" w:rsidP="00080905">
            <w:pPr>
              <w:spacing w:line="480" w:lineRule="auto"/>
              <w:jc w:val="both"/>
              <w:rPr>
                <w:b/>
                <w:lang w:val="en-GB"/>
              </w:rPr>
            </w:pPr>
            <w:r>
              <w:rPr>
                <w:b/>
                <w:lang w:val="en-GB"/>
              </w:rPr>
              <w:t>Cost external</w:t>
            </w:r>
          </w:p>
        </w:tc>
        <w:tc>
          <w:tcPr>
            <w:tcW w:w="1678" w:type="dxa"/>
          </w:tcPr>
          <w:p w14:paraId="054FED64" w14:textId="77777777" w:rsidR="00B428DF" w:rsidRPr="000F0625" w:rsidRDefault="00B428DF" w:rsidP="00080905">
            <w:pPr>
              <w:spacing w:line="480" w:lineRule="auto"/>
              <w:rPr>
                <w:b/>
                <w:lang w:val="en-GB"/>
              </w:rPr>
            </w:pPr>
            <w:r w:rsidRPr="000F0625">
              <w:rPr>
                <w:b/>
                <w:lang w:val="en-GB"/>
              </w:rPr>
              <w:t>Cost private</w:t>
            </w:r>
          </w:p>
        </w:tc>
        <w:tc>
          <w:tcPr>
            <w:tcW w:w="2882" w:type="dxa"/>
          </w:tcPr>
          <w:p w14:paraId="6652DAA3"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5560A91F" w14:textId="77777777" w:rsidTr="00080905">
        <w:trPr>
          <w:trHeight w:val="208"/>
        </w:trPr>
        <w:tc>
          <w:tcPr>
            <w:tcW w:w="3306" w:type="dxa"/>
          </w:tcPr>
          <w:p w14:paraId="283CBE98" w14:textId="77777777" w:rsidR="00B428DF" w:rsidRPr="000F0625" w:rsidRDefault="00B428DF" w:rsidP="00080905">
            <w:pPr>
              <w:spacing w:line="480" w:lineRule="auto"/>
              <w:jc w:val="both"/>
              <w:rPr>
                <w:lang w:val="en-GB"/>
              </w:rPr>
            </w:pPr>
            <w:r w:rsidRPr="000F0625">
              <w:rPr>
                <w:lang w:val="en-GB"/>
              </w:rPr>
              <w:t>Bicycle track construction</w:t>
            </w:r>
          </w:p>
        </w:tc>
        <w:tc>
          <w:tcPr>
            <w:tcW w:w="1678" w:type="dxa"/>
          </w:tcPr>
          <w:p w14:paraId="3D68A7E2"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Pr>
                <w:lang w:val="en-GB"/>
              </w:rPr>
              <w:t>0.002</w:t>
            </w:r>
            <w:r w:rsidRPr="000F0625">
              <w:rPr>
                <w:lang w:val="en-GB"/>
              </w:rPr>
              <w:t>/pkm</w:t>
            </w:r>
          </w:p>
        </w:tc>
        <w:tc>
          <w:tcPr>
            <w:tcW w:w="1678" w:type="dxa"/>
          </w:tcPr>
          <w:p w14:paraId="72FD5AB2" w14:textId="77777777" w:rsidR="00B428DF" w:rsidRPr="000F0625" w:rsidRDefault="00B428DF" w:rsidP="00080905">
            <w:pPr>
              <w:spacing w:line="480" w:lineRule="auto"/>
              <w:jc w:val="right"/>
              <w:rPr>
                <w:lang w:val="en-GB"/>
              </w:rPr>
            </w:pPr>
            <w:r w:rsidRPr="000F0625">
              <w:rPr>
                <w:lang w:val="en-GB"/>
              </w:rPr>
              <w:t>0</w:t>
            </w:r>
          </w:p>
        </w:tc>
        <w:tc>
          <w:tcPr>
            <w:tcW w:w="2882" w:type="dxa"/>
          </w:tcPr>
          <w:p w14:paraId="7C8D5772" w14:textId="77777777" w:rsidR="00B428DF" w:rsidRPr="000F0625" w:rsidRDefault="00B428DF" w:rsidP="00080905">
            <w:pPr>
              <w:spacing w:line="480" w:lineRule="auto"/>
              <w:jc w:val="both"/>
              <w:rPr>
                <w:lang w:val="en-GB"/>
              </w:rPr>
            </w:pPr>
            <w:r w:rsidRPr="000F0625">
              <w:rPr>
                <w:lang w:val="en-GB"/>
              </w:rPr>
              <w:t>Erznoznik et al. 2014</w:t>
            </w:r>
          </w:p>
        </w:tc>
      </w:tr>
      <w:tr w:rsidR="00B428DF" w:rsidRPr="000F0625" w14:paraId="2E3307C9" w14:textId="77777777" w:rsidTr="00080905">
        <w:trPr>
          <w:trHeight w:val="296"/>
        </w:trPr>
        <w:tc>
          <w:tcPr>
            <w:tcW w:w="3306" w:type="dxa"/>
          </w:tcPr>
          <w:p w14:paraId="7844FC13" w14:textId="77777777" w:rsidR="00B428DF" w:rsidRPr="000F0625" w:rsidRDefault="00B428DF" w:rsidP="00080905">
            <w:pPr>
              <w:spacing w:line="480" w:lineRule="auto"/>
              <w:rPr>
                <w:lang w:val="en-GB"/>
              </w:rPr>
            </w:pPr>
            <w:r w:rsidRPr="000F0625">
              <w:rPr>
                <w:lang w:val="en-GB"/>
              </w:rPr>
              <w:t>Roadway land use</w:t>
            </w:r>
          </w:p>
        </w:tc>
        <w:tc>
          <w:tcPr>
            <w:tcW w:w="1678" w:type="dxa"/>
          </w:tcPr>
          <w:p w14:paraId="098761BD" w14:textId="77777777" w:rsidR="00B428DF" w:rsidRPr="000F0625" w:rsidRDefault="00B428DF" w:rsidP="00080905">
            <w:pPr>
              <w:spacing w:line="480" w:lineRule="auto"/>
              <w:jc w:val="right"/>
              <w:rPr>
                <w:lang w:val="en-GB"/>
              </w:rPr>
            </w:pPr>
            <w:r w:rsidRPr="000F0625">
              <w:rPr>
                <w:lang w:val="en-GB"/>
              </w:rPr>
              <w:t>&lt;€</w:t>
            </w:r>
            <w:r w:rsidRPr="000F0625">
              <w:rPr>
                <w:vertAlign w:val="subscript"/>
                <w:lang w:val="en-GB"/>
              </w:rPr>
              <w:t>2017</w:t>
            </w:r>
            <w:r w:rsidRPr="000F0625">
              <w:rPr>
                <w:lang w:val="en-GB"/>
              </w:rPr>
              <w:t>0.001/pkm</w:t>
            </w:r>
          </w:p>
        </w:tc>
        <w:tc>
          <w:tcPr>
            <w:tcW w:w="1678" w:type="dxa"/>
          </w:tcPr>
          <w:p w14:paraId="29BD3474" w14:textId="77777777" w:rsidR="00B428DF" w:rsidRPr="000F0625" w:rsidRDefault="00B428DF" w:rsidP="00080905">
            <w:pPr>
              <w:spacing w:line="480" w:lineRule="auto"/>
              <w:jc w:val="right"/>
              <w:rPr>
                <w:lang w:val="en-GB"/>
              </w:rPr>
            </w:pPr>
            <w:r w:rsidRPr="000F0625">
              <w:rPr>
                <w:lang w:val="en-GB"/>
              </w:rPr>
              <w:t>0</w:t>
            </w:r>
          </w:p>
        </w:tc>
        <w:tc>
          <w:tcPr>
            <w:tcW w:w="2882" w:type="dxa"/>
          </w:tcPr>
          <w:p w14:paraId="5A9200BC" w14:textId="77777777" w:rsidR="00B428DF" w:rsidRPr="000F0625" w:rsidRDefault="00B428DF" w:rsidP="00080905">
            <w:pPr>
              <w:spacing w:line="480" w:lineRule="auto"/>
              <w:jc w:val="both"/>
              <w:rPr>
                <w:lang w:val="en-GB"/>
              </w:rPr>
            </w:pPr>
            <w:r>
              <w:t>Litman and Doherty, 2011</w:t>
            </w:r>
          </w:p>
        </w:tc>
      </w:tr>
      <w:tr w:rsidR="00B428DF" w:rsidRPr="000F0625" w14:paraId="50F4813D" w14:textId="77777777" w:rsidTr="00080905">
        <w:trPr>
          <w:trHeight w:val="296"/>
        </w:trPr>
        <w:tc>
          <w:tcPr>
            <w:tcW w:w="3306" w:type="dxa"/>
          </w:tcPr>
          <w:p w14:paraId="76BE7B8A" w14:textId="77777777" w:rsidR="00B428DF" w:rsidRPr="000F0625" w:rsidRDefault="00B428DF" w:rsidP="00080905">
            <w:pPr>
              <w:spacing w:line="480" w:lineRule="auto"/>
              <w:rPr>
                <w:lang w:val="en-GB"/>
              </w:rPr>
            </w:pPr>
            <w:r w:rsidRPr="000F0625">
              <w:rPr>
                <w:lang w:val="en-GB"/>
              </w:rPr>
              <w:t>Parking</w:t>
            </w:r>
          </w:p>
        </w:tc>
        <w:tc>
          <w:tcPr>
            <w:tcW w:w="1678" w:type="dxa"/>
          </w:tcPr>
          <w:p w14:paraId="04964EF4" w14:textId="77777777" w:rsidR="00B428DF" w:rsidRPr="000F0625" w:rsidRDefault="00B428DF" w:rsidP="00080905">
            <w:pPr>
              <w:spacing w:line="480" w:lineRule="auto"/>
              <w:jc w:val="right"/>
              <w:rPr>
                <w:lang w:val="en-GB"/>
              </w:rPr>
            </w:pPr>
            <w:r w:rsidRPr="000F0625">
              <w:rPr>
                <w:lang w:val="en-GB"/>
              </w:rPr>
              <w:t>&lt;€</w:t>
            </w:r>
            <w:r w:rsidRPr="000F0625">
              <w:rPr>
                <w:vertAlign w:val="subscript"/>
                <w:lang w:val="en-GB"/>
              </w:rPr>
              <w:t>2017</w:t>
            </w:r>
            <w:r w:rsidRPr="000F0625">
              <w:rPr>
                <w:lang w:val="en-GB"/>
              </w:rPr>
              <w:t>0.001/pkm</w:t>
            </w:r>
          </w:p>
        </w:tc>
        <w:tc>
          <w:tcPr>
            <w:tcW w:w="1678" w:type="dxa"/>
          </w:tcPr>
          <w:p w14:paraId="155F96D3" w14:textId="77777777" w:rsidR="00B428DF" w:rsidRPr="000F0625" w:rsidRDefault="00B428DF" w:rsidP="00080905">
            <w:pPr>
              <w:spacing w:line="480" w:lineRule="auto"/>
              <w:jc w:val="right"/>
              <w:rPr>
                <w:lang w:val="en-GB"/>
              </w:rPr>
            </w:pPr>
            <w:r w:rsidRPr="000F0625">
              <w:rPr>
                <w:lang w:val="en-GB"/>
              </w:rPr>
              <w:t>&lt;€</w:t>
            </w:r>
            <w:r w:rsidRPr="000F0625">
              <w:rPr>
                <w:vertAlign w:val="subscript"/>
                <w:lang w:val="en-GB"/>
              </w:rPr>
              <w:t>2017</w:t>
            </w:r>
            <w:r w:rsidRPr="000F0625">
              <w:rPr>
                <w:lang w:val="en-GB"/>
              </w:rPr>
              <w:t>0.001/pkm</w:t>
            </w:r>
          </w:p>
        </w:tc>
        <w:tc>
          <w:tcPr>
            <w:tcW w:w="2882" w:type="dxa"/>
          </w:tcPr>
          <w:p w14:paraId="0F29C844" w14:textId="77777777" w:rsidR="00B428DF" w:rsidRPr="000F0625" w:rsidRDefault="00B428DF" w:rsidP="00080905">
            <w:pPr>
              <w:spacing w:line="480" w:lineRule="auto"/>
              <w:jc w:val="both"/>
              <w:rPr>
                <w:lang w:val="en-GB"/>
              </w:rPr>
            </w:pPr>
            <w:r>
              <w:t>Litman and Doherty, 2011</w:t>
            </w:r>
          </w:p>
        </w:tc>
      </w:tr>
      <w:tr w:rsidR="00B428DF" w:rsidRPr="000F0625" w14:paraId="11A55B41" w14:textId="77777777" w:rsidTr="00080905">
        <w:trPr>
          <w:trHeight w:val="296"/>
        </w:trPr>
        <w:tc>
          <w:tcPr>
            <w:tcW w:w="3306" w:type="dxa"/>
          </w:tcPr>
          <w:p w14:paraId="4F0EE544" w14:textId="77777777" w:rsidR="00B428DF" w:rsidRPr="000F0625" w:rsidRDefault="00B428DF" w:rsidP="00080905">
            <w:pPr>
              <w:spacing w:line="480" w:lineRule="auto"/>
              <w:rPr>
                <w:lang w:val="en-GB"/>
              </w:rPr>
            </w:pPr>
            <w:r w:rsidRPr="000F0625">
              <w:rPr>
                <w:lang w:val="en-GB"/>
              </w:rPr>
              <w:t>Lost ecosystem services</w:t>
            </w:r>
          </w:p>
        </w:tc>
        <w:tc>
          <w:tcPr>
            <w:tcW w:w="1678" w:type="dxa"/>
          </w:tcPr>
          <w:p w14:paraId="097E2EF5" w14:textId="77777777" w:rsidR="00B428DF" w:rsidRPr="000F0625" w:rsidRDefault="00B428DF" w:rsidP="00080905">
            <w:pPr>
              <w:spacing w:line="480" w:lineRule="auto"/>
              <w:jc w:val="right"/>
              <w:rPr>
                <w:lang w:val="en-GB"/>
              </w:rPr>
            </w:pPr>
            <w:r w:rsidRPr="000F0625">
              <w:rPr>
                <w:lang w:val="en-GB"/>
              </w:rPr>
              <w:t>?</w:t>
            </w:r>
          </w:p>
        </w:tc>
        <w:tc>
          <w:tcPr>
            <w:tcW w:w="1678" w:type="dxa"/>
          </w:tcPr>
          <w:p w14:paraId="48DC2AE5" w14:textId="77777777" w:rsidR="00B428DF" w:rsidRPr="000F0625" w:rsidRDefault="00B428DF" w:rsidP="00080905">
            <w:pPr>
              <w:spacing w:line="480" w:lineRule="auto"/>
              <w:jc w:val="right"/>
              <w:rPr>
                <w:lang w:val="en-GB"/>
              </w:rPr>
            </w:pPr>
            <w:r w:rsidRPr="000F0625">
              <w:rPr>
                <w:lang w:val="en-GB"/>
              </w:rPr>
              <w:t>0</w:t>
            </w:r>
          </w:p>
        </w:tc>
        <w:tc>
          <w:tcPr>
            <w:tcW w:w="2882" w:type="dxa"/>
          </w:tcPr>
          <w:p w14:paraId="41666E61" w14:textId="77777777" w:rsidR="00B428DF" w:rsidRPr="000F0625" w:rsidRDefault="00B428DF" w:rsidP="00080905">
            <w:pPr>
              <w:spacing w:line="480" w:lineRule="auto"/>
              <w:jc w:val="both"/>
              <w:rPr>
                <w:lang w:val="en-GB"/>
              </w:rPr>
            </w:pPr>
            <w:r w:rsidRPr="000F0625">
              <w:rPr>
                <w:lang w:val="en-GB"/>
              </w:rPr>
              <w:t>-</w:t>
            </w:r>
          </w:p>
        </w:tc>
      </w:tr>
      <w:tr w:rsidR="00B428DF" w:rsidRPr="000F0625" w14:paraId="7407B0CE" w14:textId="77777777" w:rsidTr="00080905">
        <w:tc>
          <w:tcPr>
            <w:tcW w:w="3306" w:type="dxa"/>
          </w:tcPr>
          <w:p w14:paraId="0FAA8231" w14:textId="77777777" w:rsidR="00B428DF" w:rsidRPr="000F0625" w:rsidRDefault="00B428DF" w:rsidP="00080905">
            <w:pPr>
              <w:spacing w:line="480" w:lineRule="auto"/>
              <w:jc w:val="both"/>
              <w:rPr>
                <w:b/>
                <w:lang w:val="en-GB"/>
              </w:rPr>
            </w:pPr>
            <w:r w:rsidRPr="000F0625">
              <w:rPr>
                <w:b/>
                <w:lang w:val="en-GB"/>
              </w:rPr>
              <w:t>Assessment Walking</w:t>
            </w:r>
          </w:p>
        </w:tc>
        <w:tc>
          <w:tcPr>
            <w:tcW w:w="1678" w:type="dxa"/>
          </w:tcPr>
          <w:p w14:paraId="1B514069" w14:textId="77777777" w:rsidR="00B428DF" w:rsidRPr="000F0625" w:rsidRDefault="00B428DF" w:rsidP="00080905">
            <w:pPr>
              <w:spacing w:line="480" w:lineRule="auto"/>
              <w:jc w:val="both"/>
              <w:rPr>
                <w:b/>
                <w:lang w:val="en-GB"/>
              </w:rPr>
            </w:pPr>
            <w:r>
              <w:rPr>
                <w:b/>
                <w:lang w:val="en-GB"/>
              </w:rPr>
              <w:t>Cost external</w:t>
            </w:r>
          </w:p>
        </w:tc>
        <w:tc>
          <w:tcPr>
            <w:tcW w:w="1678" w:type="dxa"/>
          </w:tcPr>
          <w:p w14:paraId="1720AEE0" w14:textId="77777777" w:rsidR="00B428DF" w:rsidRPr="000F0625" w:rsidRDefault="00B428DF" w:rsidP="00080905">
            <w:pPr>
              <w:spacing w:line="480" w:lineRule="auto"/>
              <w:rPr>
                <w:b/>
                <w:lang w:val="en-GB"/>
              </w:rPr>
            </w:pPr>
            <w:r w:rsidRPr="000F0625">
              <w:rPr>
                <w:b/>
                <w:lang w:val="en-GB"/>
              </w:rPr>
              <w:t>Cost private</w:t>
            </w:r>
          </w:p>
        </w:tc>
        <w:tc>
          <w:tcPr>
            <w:tcW w:w="2882" w:type="dxa"/>
          </w:tcPr>
          <w:p w14:paraId="5BE179BA"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344C85A0" w14:textId="77777777" w:rsidTr="00080905">
        <w:trPr>
          <w:trHeight w:val="208"/>
        </w:trPr>
        <w:tc>
          <w:tcPr>
            <w:tcW w:w="3306" w:type="dxa"/>
          </w:tcPr>
          <w:p w14:paraId="6616BFAD" w14:textId="77777777" w:rsidR="00B428DF" w:rsidRPr="000F0625" w:rsidRDefault="00B428DF" w:rsidP="00080905">
            <w:pPr>
              <w:spacing w:line="480" w:lineRule="auto"/>
              <w:jc w:val="both"/>
              <w:rPr>
                <w:lang w:val="en-GB"/>
              </w:rPr>
            </w:pPr>
            <w:r w:rsidRPr="000F0625">
              <w:rPr>
                <w:lang w:val="en-GB"/>
              </w:rPr>
              <w:t>Boardwalk construction</w:t>
            </w:r>
          </w:p>
        </w:tc>
        <w:tc>
          <w:tcPr>
            <w:tcW w:w="1678" w:type="dxa"/>
          </w:tcPr>
          <w:p w14:paraId="11C43EF8"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0.00</w:t>
            </w:r>
            <w:r>
              <w:rPr>
                <w:lang w:val="en-GB"/>
              </w:rPr>
              <w:t>2</w:t>
            </w:r>
            <w:r w:rsidRPr="000F0625">
              <w:rPr>
                <w:lang w:val="en-GB"/>
              </w:rPr>
              <w:t>/pkm</w:t>
            </w:r>
          </w:p>
        </w:tc>
        <w:tc>
          <w:tcPr>
            <w:tcW w:w="1678" w:type="dxa"/>
          </w:tcPr>
          <w:p w14:paraId="30B071E2" w14:textId="77777777" w:rsidR="00B428DF" w:rsidRPr="000F0625" w:rsidRDefault="00B428DF" w:rsidP="00080905">
            <w:pPr>
              <w:spacing w:line="480" w:lineRule="auto"/>
              <w:jc w:val="right"/>
              <w:rPr>
                <w:lang w:val="en-GB"/>
              </w:rPr>
            </w:pPr>
            <w:r w:rsidRPr="000F0625">
              <w:rPr>
                <w:lang w:val="en-GB"/>
              </w:rPr>
              <w:t>0</w:t>
            </w:r>
          </w:p>
        </w:tc>
        <w:tc>
          <w:tcPr>
            <w:tcW w:w="2882" w:type="dxa"/>
          </w:tcPr>
          <w:p w14:paraId="7C0DB102" w14:textId="77777777" w:rsidR="00B428DF" w:rsidRPr="000F0625" w:rsidRDefault="00B428DF" w:rsidP="00080905">
            <w:pPr>
              <w:spacing w:line="480" w:lineRule="auto"/>
              <w:jc w:val="both"/>
              <w:rPr>
                <w:lang w:val="en-GB"/>
              </w:rPr>
            </w:pPr>
            <w:r>
              <w:rPr>
                <w:lang w:val="en-GB"/>
              </w:rPr>
              <w:t>Authors</w:t>
            </w:r>
          </w:p>
        </w:tc>
      </w:tr>
      <w:tr w:rsidR="00B428DF" w:rsidRPr="000F0625" w14:paraId="4F613E7A" w14:textId="77777777" w:rsidTr="00080905">
        <w:trPr>
          <w:trHeight w:val="296"/>
        </w:trPr>
        <w:tc>
          <w:tcPr>
            <w:tcW w:w="3306" w:type="dxa"/>
          </w:tcPr>
          <w:p w14:paraId="76AF142D" w14:textId="77777777" w:rsidR="00B428DF" w:rsidRPr="000F0625" w:rsidRDefault="00B428DF" w:rsidP="00080905">
            <w:pPr>
              <w:spacing w:line="480" w:lineRule="auto"/>
              <w:rPr>
                <w:lang w:val="en-GB"/>
              </w:rPr>
            </w:pPr>
            <w:r w:rsidRPr="000F0625">
              <w:rPr>
                <w:lang w:val="en-GB"/>
              </w:rPr>
              <w:t>Boardwalk land use</w:t>
            </w:r>
          </w:p>
        </w:tc>
        <w:tc>
          <w:tcPr>
            <w:tcW w:w="1678" w:type="dxa"/>
          </w:tcPr>
          <w:p w14:paraId="35A6065F" w14:textId="77777777" w:rsidR="00B428DF" w:rsidRPr="000F0625" w:rsidRDefault="00B428DF" w:rsidP="00080905">
            <w:pPr>
              <w:spacing w:line="480" w:lineRule="auto"/>
              <w:jc w:val="right"/>
              <w:rPr>
                <w:lang w:val="en-GB"/>
              </w:rPr>
            </w:pPr>
            <w:r w:rsidRPr="000F0625">
              <w:rPr>
                <w:lang w:val="en-GB"/>
              </w:rPr>
              <w:t>&lt;€</w:t>
            </w:r>
            <w:r w:rsidRPr="000F0625">
              <w:rPr>
                <w:vertAlign w:val="subscript"/>
                <w:lang w:val="en-GB"/>
              </w:rPr>
              <w:t>2017</w:t>
            </w:r>
            <w:r w:rsidRPr="000F0625">
              <w:rPr>
                <w:lang w:val="en-GB"/>
              </w:rPr>
              <w:t>0.001/pkm</w:t>
            </w:r>
          </w:p>
        </w:tc>
        <w:tc>
          <w:tcPr>
            <w:tcW w:w="1678" w:type="dxa"/>
          </w:tcPr>
          <w:p w14:paraId="3D4F4673" w14:textId="77777777" w:rsidR="00B428DF" w:rsidRPr="000F0625" w:rsidRDefault="00B428DF" w:rsidP="00080905">
            <w:pPr>
              <w:spacing w:line="480" w:lineRule="auto"/>
              <w:jc w:val="right"/>
              <w:rPr>
                <w:lang w:val="en-GB"/>
              </w:rPr>
            </w:pPr>
            <w:r w:rsidRPr="000F0625">
              <w:rPr>
                <w:lang w:val="en-GB"/>
              </w:rPr>
              <w:t>0</w:t>
            </w:r>
          </w:p>
        </w:tc>
        <w:tc>
          <w:tcPr>
            <w:tcW w:w="2882" w:type="dxa"/>
          </w:tcPr>
          <w:p w14:paraId="254E7EBF" w14:textId="77777777" w:rsidR="00B428DF" w:rsidRPr="000F0625" w:rsidRDefault="00B428DF" w:rsidP="00080905">
            <w:pPr>
              <w:spacing w:line="480" w:lineRule="auto"/>
              <w:jc w:val="both"/>
              <w:rPr>
                <w:lang w:val="en-GB"/>
              </w:rPr>
            </w:pPr>
            <w:r>
              <w:rPr>
                <w:lang w:val="en-GB"/>
              </w:rPr>
              <w:t>Authors</w:t>
            </w:r>
          </w:p>
        </w:tc>
      </w:tr>
      <w:tr w:rsidR="00B428DF" w:rsidRPr="000F0625" w14:paraId="24453861" w14:textId="77777777" w:rsidTr="00080905">
        <w:trPr>
          <w:trHeight w:val="296"/>
        </w:trPr>
        <w:tc>
          <w:tcPr>
            <w:tcW w:w="3306" w:type="dxa"/>
          </w:tcPr>
          <w:p w14:paraId="60A6A709" w14:textId="77777777" w:rsidR="00B428DF" w:rsidRPr="000F0625" w:rsidRDefault="00B428DF" w:rsidP="00080905">
            <w:pPr>
              <w:spacing w:line="480" w:lineRule="auto"/>
              <w:rPr>
                <w:lang w:val="en-GB"/>
              </w:rPr>
            </w:pPr>
            <w:r w:rsidRPr="000F0625">
              <w:rPr>
                <w:lang w:val="en-GB"/>
              </w:rPr>
              <w:lastRenderedPageBreak/>
              <w:t>Lost ecosystem services</w:t>
            </w:r>
          </w:p>
        </w:tc>
        <w:tc>
          <w:tcPr>
            <w:tcW w:w="1678" w:type="dxa"/>
          </w:tcPr>
          <w:p w14:paraId="7462E081" w14:textId="77777777" w:rsidR="00B428DF" w:rsidRPr="000F0625" w:rsidRDefault="00B428DF" w:rsidP="00080905">
            <w:pPr>
              <w:spacing w:line="480" w:lineRule="auto"/>
              <w:jc w:val="right"/>
              <w:rPr>
                <w:lang w:val="en-GB"/>
              </w:rPr>
            </w:pPr>
            <w:r w:rsidRPr="000F0625">
              <w:rPr>
                <w:lang w:val="en-GB"/>
              </w:rPr>
              <w:t>?</w:t>
            </w:r>
          </w:p>
        </w:tc>
        <w:tc>
          <w:tcPr>
            <w:tcW w:w="1678" w:type="dxa"/>
          </w:tcPr>
          <w:p w14:paraId="104BA5B5" w14:textId="77777777" w:rsidR="00B428DF" w:rsidRPr="000F0625" w:rsidRDefault="00B428DF" w:rsidP="00080905">
            <w:pPr>
              <w:spacing w:line="480" w:lineRule="auto"/>
              <w:jc w:val="right"/>
              <w:rPr>
                <w:lang w:val="en-GB"/>
              </w:rPr>
            </w:pPr>
            <w:r w:rsidRPr="000F0625">
              <w:rPr>
                <w:lang w:val="en-GB"/>
              </w:rPr>
              <w:t>0</w:t>
            </w:r>
          </w:p>
        </w:tc>
        <w:tc>
          <w:tcPr>
            <w:tcW w:w="2882" w:type="dxa"/>
          </w:tcPr>
          <w:p w14:paraId="4120D982" w14:textId="77777777" w:rsidR="00B428DF" w:rsidRPr="000F0625" w:rsidRDefault="00B428DF" w:rsidP="00080905">
            <w:pPr>
              <w:spacing w:line="480" w:lineRule="auto"/>
              <w:jc w:val="both"/>
              <w:rPr>
                <w:lang w:val="en-GB"/>
              </w:rPr>
            </w:pPr>
            <w:r w:rsidRPr="000F0625">
              <w:rPr>
                <w:lang w:val="en-GB"/>
              </w:rPr>
              <w:t>-</w:t>
            </w:r>
          </w:p>
        </w:tc>
      </w:tr>
    </w:tbl>
    <w:p w14:paraId="0E90A726" w14:textId="77777777" w:rsidR="00B428DF" w:rsidRPr="000F0625" w:rsidRDefault="00B428DF" w:rsidP="00B428DF">
      <w:pPr>
        <w:spacing w:line="480" w:lineRule="auto"/>
        <w:jc w:val="both"/>
      </w:pPr>
    </w:p>
    <w:p w14:paraId="5E692256" w14:textId="77777777" w:rsidR="00B428DF" w:rsidRPr="000F0625" w:rsidRDefault="00B428DF" w:rsidP="00B428DF">
      <w:pPr>
        <w:spacing w:line="480" w:lineRule="auto"/>
        <w:jc w:val="both"/>
      </w:pPr>
    </w:p>
    <w:p w14:paraId="02572CAA"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Traffic infrastructure maintenance</w:t>
      </w:r>
    </w:p>
    <w:p w14:paraId="65592D0E" w14:textId="77777777" w:rsidR="00B428DF" w:rsidRPr="000F0625" w:rsidRDefault="00B428DF" w:rsidP="00B428DF">
      <w:pPr>
        <w:spacing w:line="480" w:lineRule="auto"/>
        <w:jc w:val="both"/>
        <w:rPr>
          <w:bCs/>
        </w:rPr>
      </w:pPr>
      <w:r w:rsidRPr="000F0625">
        <w:rPr>
          <w:bCs/>
        </w:rPr>
        <w:t>As IEA (2013) highlights, the global annual cost of maintaining roads is in the order of US$</w:t>
      </w:r>
      <w:r w:rsidRPr="000F0625">
        <w:rPr>
          <w:bCs/>
          <w:vertAlign w:val="subscript"/>
        </w:rPr>
        <w:t>2017</w:t>
      </w:r>
      <w:r>
        <w:rPr>
          <w:bCs/>
        </w:rPr>
        <w:t>450 billion</w:t>
      </w:r>
      <w:r w:rsidRPr="000F0625">
        <w:rPr>
          <w:bCs/>
        </w:rPr>
        <w:t xml:space="preserve">, and increasing with the extent of road systems. Korzhenevych et al. (2014) calculated </w:t>
      </w:r>
      <w:r>
        <w:rPr>
          <w:bCs/>
        </w:rPr>
        <w:t xml:space="preserve">a </w:t>
      </w:r>
      <w:r w:rsidRPr="000F0625">
        <w:rPr>
          <w:bCs/>
        </w:rPr>
        <w:t>car-related deterioration cost in the EU28 of €</w:t>
      </w:r>
      <w:r w:rsidRPr="000F0625">
        <w:rPr>
          <w:bCs/>
          <w:vertAlign w:val="subscript"/>
        </w:rPr>
        <w:t>2017</w:t>
      </w:r>
      <w:r w:rsidRPr="000F0625">
        <w:rPr>
          <w:bCs/>
        </w:rPr>
        <w:t xml:space="preserve">0.004/pkm, i.e. not including other aspects of traffic infrastructure maintenance (Table 6). Both cycling and walking will incur a cost that is only a fraction of </w:t>
      </w:r>
      <w:r>
        <w:rPr>
          <w:bCs/>
        </w:rPr>
        <w:t xml:space="preserve">the </w:t>
      </w:r>
      <w:r w:rsidRPr="000F0625">
        <w:rPr>
          <w:bCs/>
        </w:rPr>
        <w:t>ve</w:t>
      </w:r>
      <w:r>
        <w:rPr>
          <w:bCs/>
        </w:rPr>
        <w:t xml:space="preserve">hicle-related maintenance cost, and hence lower than </w:t>
      </w:r>
      <w:r w:rsidRPr="000F0625">
        <w:rPr>
          <w:bCs/>
        </w:rPr>
        <w:t>&lt;€</w:t>
      </w:r>
      <w:r w:rsidRPr="000F0625">
        <w:rPr>
          <w:bCs/>
          <w:vertAlign w:val="subscript"/>
        </w:rPr>
        <w:t>2017</w:t>
      </w:r>
      <w:r w:rsidRPr="000F0625">
        <w:rPr>
          <w:bCs/>
        </w:rPr>
        <w:t>0.001/pkm</w:t>
      </w:r>
      <w:r>
        <w:rPr>
          <w:bCs/>
        </w:rPr>
        <w:t>.</w:t>
      </w:r>
    </w:p>
    <w:p w14:paraId="29224DE1" w14:textId="77777777" w:rsidR="00B428DF" w:rsidRPr="000F0625" w:rsidRDefault="00B428DF" w:rsidP="00B428DF">
      <w:pPr>
        <w:spacing w:line="480" w:lineRule="auto"/>
        <w:rPr>
          <w:bCs/>
        </w:rPr>
      </w:pPr>
    </w:p>
    <w:p w14:paraId="24126869" w14:textId="77777777" w:rsidR="00B428DF" w:rsidRPr="000F0625" w:rsidRDefault="00B428DF" w:rsidP="00B428DF">
      <w:pPr>
        <w:spacing w:line="480" w:lineRule="auto"/>
        <w:rPr>
          <w:b/>
          <w:bCs/>
        </w:rPr>
      </w:pPr>
      <w:r w:rsidRPr="000F0625">
        <w:rPr>
          <w:b/>
          <w:bCs/>
        </w:rPr>
        <w:t xml:space="preserve">Table </w:t>
      </w:r>
      <w:r>
        <w:rPr>
          <w:b/>
          <w:bCs/>
        </w:rPr>
        <w:t>7</w:t>
      </w:r>
      <w:r w:rsidRPr="000F0625">
        <w:rPr>
          <w:b/>
          <w:bCs/>
        </w:rPr>
        <w:t>: Cost assessment of traffic infrastructure maintenance</w:t>
      </w:r>
    </w:p>
    <w:tbl>
      <w:tblPr>
        <w:tblStyle w:val="Tabelraster"/>
        <w:tblW w:w="9405" w:type="dxa"/>
        <w:tblInd w:w="108" w:type="dxa"/>
        <w:tblLook w:val="04A0" w:firstRow="1" w:lastRow="0" w:firstColumn="1" w:lastColumn="0" w:noHBand="0" w:noVBand="1"/>
      </w:tblPr>
      <w:tblGrid>
        <w:gridCol w:w="2741"/>
        <w:gridCol w:w="1678"/>
        <w:gridCol w:w="1403"/>
        <w:gridCol w:w="3583"/>
      </w:tblGrid>
      <w:tr w:rsidR="00B428DF" w:rsidRPr="000F0625" w14:paraId="1D022C94" w14:textId="77777777" w:rsidTr="00080905">
        <w:tc>
          <w:tcPr>
            <w:tcW w:w="2741" w:type="dxa"/>
          </w:tcPr>
          <w:p w14:paraId="713C5C68" w14:textId="77777777" w:rsidR="00B428DF" w:rsidRPr="000F0625" w:rsidRDefault="00B428DF" w:rsidP="00080905">
            <w:pPr>
              <w:spacing w:line="480" w:lineRule="auto"/>
              <w:rPr>
                <w:b/>
                <w:bCs/>
                <w:lang w:val="en-GB"/>
              </w:rPr>
            </w:pPr>
            <w:r w:rsidRPr="000F0625">
              <w:rPr>
                <w:b/>
                <w:bCs/>
                <w:lang w:val="en-GB"/>
              </w:rPr>
              <w:t>Assessment Cars</w:t>
            </w:r>
          </w:p>
        </w:tc>
        <w:tc>
          <w:tcPr>
            <w:tcW w:w="1678" w:type="dxa"/>
          </w:tcPr>
          <w:p w14:paraId="33B200F0" w14:textId="77777777" w:rsidR="00B428DF" w:rsidRPr="000F0625" w:rsidRDefault="00B428DF" w:rsidP="00080905">
            <w:pPr>
              <w:spacing w:line="480" w:lineRule="auto"/>
              <w:rPr>
                <w:b/>
                <w:bCs/>
                <w:lang w:val="en-GB"/>
              </w:rPr>
            </w:pPr>
            <w:r>
              <w:rPr>
                <w:b/>
                <w:bCs/>
                <w:lang w:val="en-GB"/>
              </w:rPr>
              <w:t>Cost external</w:t>
            </w:r>
          </w:p>
        </w:tc>
        <w:tc>
          <w:tcPr>
            <w:tcW w:w="1403" w:type="dxa"/>
          </w:tcPr>
          <w:p w14:paraId="4EDAB41B" w14:textId="77777777" w:rsidR="00B428DF" w:rsidRPr="000F0625" w:rsidRDefault="00B428DF" w:rsidP="00080905">
            <w:pPr>
              <w:spacing w:line="480" w:lineRule="auto"/>
              <w:rPr>
                <w:b/>
                <w:bCs/>
                <w:lang w:val="en-GB"/>
              </w:rPr>
            </w:pPr>
            <w:r w:rsidRPr="000F0625">
              <w:rPr>
                <w:b/>
                <w:bCs/>
                <w:lang w:val="en-GB"/>
              </w:rPr>
              <w:t>Cost private</w:t>
            </w:r>
          </w:p>
        </w:tc>
        <w:tc>
          <w:tcPr>
            <w:tcW w:w="3583" w:type="dxa"/>
          </w:tcPr>
          <w:p w14:paraId="373C3D23"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3B88298E" w14:textId="77777777" w:rsidTr="00080905">
        <w:trPr>
          <w:trHeight w:val="296"/>
        </w:trPr>
        <w:tc>
          <w:tcPr>
            <w:tcW w:w="2741" w:type="dxa"/>
          </w:tcPr>
          <w:p w14:paraId="7774DA77" w14:textId="77777777" w:rsidR="00B428DF" w:rsidRPr="000F0625" w:rsidRDefault="00B428DF" w:rsidP="00080905">
            <w:pPr>
              <w:spacing w:line="480" w:lineRule="auto"/>
              <w:rPr>
                <w:bCs/>
                <w:lang w:val="en-GB"/>
              </w:rPr>
            </w:pPr>
            <w:r w:rsidRPr="000F0625">
              <w:rPr>
                <w:bCs/>
                <w:lang w:val="en-GB"/>
              </w:rPr>
              <w:t>Maintenance costs</w:t>
            </w:r>
          </w:p>
        </w:tc>
        <w:tc>
          <w:tcPr>
            <w:tcW w:w="1678" w:type="dxa"/>
          </w:tcPr>
          <w:p w14:paraId="58EE09FB" w14:textId="77777777" w:rsidR="00B428DF" w:rsidRPr="000F0625" w:rsidRDefault="00B428DF" w:rsidP="00080905">
            <w:pPr>
              <w:spacing w:line="480" w:lineRule="auto"/>
              <w:rPr>
                <w:bCs/>
                <w:lang w:val="en-GB"/>
              </w:rPr>
            </w:pPr>
            <w:r w:rsidRPr="000F0625">
              <w:rPr>
                <w:bCs/>
                <w:lang w:val="en-GB"/>
              </w:rPr>
              <w:t>€</w:t>
            </w:r>
            <w:r w:rsidRPr="000F0625">
              <w:rPr>
                <w:bCs/>
                <w:vertAlign w:val="subscript"/>
                <w:lang w:val="en-GB"/>
              </w:rPr>
              <w:t>2017</w:t>
            </w:r>
            <w:r w:rsidRPr="000F0625">
              <w:rPr>
                <w:bCs/>
                <w:lang w:val="en-GB"/>
              </w:rPr>
              <w:t>0.004/pkm</w:t>
            </w:r>
          </w:p>
        </w:tc>
        <w:tc>
          <w:tcPr>
            <w:tcW w:w="1403" w:type="dxa"/>
          </w:tcPr>
          <w:p w14:paraId="3F01BAAD" w14:textId="77777777" w:rsidR="00B428DF" w:rsidRPr="000F0625" w:rsidRDefault="00B428DF" w:rsidP="00080905">
            <w:pPr>
              <w:spacing w:line="480" w:lineRule="auto"/>
              <w:rPr>
                <w:bCs/>
                <w:lang w:val="en-GB"/>
              </w:rPr>
            </w:pPr>
            <w:r w:rsidRPr="000F0625">
              <w:rPr>
                <w:bCs/>
                <w:lang w:val="en-GB"/>
              </w:rPr>
              <w:t>0</w:t>
            </w:r>
          </w:p>
        </w:tc>
        <w:tc>
          <w:tcPr>
            <w:tcW w:w="3583" w:type="dxa"/>
          </w:tcPr>
          <w:p w14:paraId="4063462E" w14:textId="77777777" w:rsidR="00B428DF" w:rsidRPr="000F0625" w:rsidRDefault="00B428DF" w:rsidP="00080905">
            <w:pPr>
              <w:spacing w:line="480" w:lineRule="auto"/>
              <w:rPr>
                <w:bCs/>
                <w:lang w:val="en-GB"/>
              </w:rPr>
            </w:pPr>
            <w:r w:rsidRPr="000F0625">
              <w:rPr>
                <w:bCs/>
                <w:lang w:val="en-GB"/>
              </w:rPr>
              <w:t>Korzhenevych et al. 2014</w:t>
            </w:r>
          </w:p>
        </w:tc>
      </w:tr>
      <w:tr w:rsidR="00B428DF" w:rsidRPr="000F0625" w14:paraId="2E46B52D" w14:textId="77777777" w:rsidTr="00080905">
        <w:tc>
          <w:tcPr>
            <w:tcW w:w="2741" w:type="dxa"/>
          </w:tcPr>
          <w:p w14:paraId="71AEF411" w14:textId="77777777" w:rsidR="00B428DF" w:rsidRPr="000F0625" w:rsidRDefault="00B428DF" w:rsidP="00080905">
            <w:pPr>
              <w:spacing w:line="480" w:lineRule="auto"/>
              <w:rPr>
                <w:b/>
                <w:bCs/>
                <w:lang w:val="en-GB"/>
              </w:rPr>
            </w:pPr>
            <w:r w:rsidRPr="000F0625">
              <w:rPr>
                <w:b/>
                <w:bCs/>
                <w:lang w:val="en-GB"/>
              </w:rPr>
              <w:t>Assessment Bicycles</w:t>
            </w:r>
          </w:p>
        </w:tc>
        <w:tc>
          <w:tcPr>
            <w:tcW w:w="1678" w:type="dxa"/>
          </w:tcPr>
          <w:p w14:paraId="5FD614F4" w14:textId="77777777" w:rsidR="00B428DF" w:rsidRPr="000F0625" w:rsidRDefault="00B428DF" w:rsidP="00080905">
            <w:pPr>
              <w:spacing w:line="480" w:lineRule="auto"/>
              <w:rPr>
                <w:b/>
                <w:bCs/>
                <w:lang w:val="en-GB"/>
              </w:rPr>
            </w:pPr>
            <w:r>
              <w:rPr>
                <w:b/>
                <w:bCs/>
                <w:lang w:val="en-GB"/>
              </w:rPr>
              <w:t>Cost external</w:t>
            </w:r>
          </w:p>
        </w:tc>
        <w:tc>
          <w:tcPr>
            <w:tcW w:w="1403" w:type="dxa"/>
          </w:tcPr>
          <w:p w14:paraId="32EEBA52" w14:textId="77777777" w:rsidR="00B428DF" w:rsidRPr="000F0625" w:rsidRDefault="00B428DF" w:rsidP="00080905">
            <w:pPr>
              <w:spacing w:line="480" w:lineRule="auto"/>
              <w:rPr>
                <w:b/>
                <w:bCs/>
                <w:lang w:val="en-GB"/>
              </w:rPr>
            </w:pPr>
            <w:r w:rsidRPr="000F0625">
              <w:rPr>
                <w:b/>
                <w:bCs/>
                <w:lang w:val="en-GB"/>
              </w:rPr>
              <w:t>Cost private</w:t>
            </w:r>
          </w:p>
        </w:tc>
        <w:tc>
          <w:tcPr>
            <w:tcW w:w="3583" w:type="dxa"/>
          </w:tcPr>
          <w:p w14:paraId="0B6EA1ED"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73892C58" w14:textId="77777777" w:rsidTr="00080905">
        <w:trPr>
          <w:trHeight w:val="296"/>
        </w:trPr>
        <w:tc>
          <w:tcPr>
            <w:tcW w:w="2741" w:type="dxa"/>
          </w:tcPr>
          <w:p w14:paraId="69A13C0A" w14:textId="77777777" w:rsidR="00B428DF" w:rsidRPr="000F0625" w:rsidRDefault="00B428DF" w:rsidP="00080905">
            <w:pPr>
              <w:spacing w:line="480" w:lineRule="auto"/>
              <w:rPr>
                <w:bCs/>
                <w:lang w:val="en-GB"/>
              </w:rPr>
            </w:pPr>
            <w:r w:rsidRPr="000F0625">
              <w:rPr>
                <w:bCs/>
                <w:lang w:val="en-GB"/>
              </w:rPr>
              <w:t>Maintenance costs</w:t>
            </w:r>
          </w:p>
        </w:tc>
        <w:tc>
          <w:tcPr>
            <w:tcW w:w="1678" w:type="dxa"/>
          </w:tcPr>
          <w:p w14:paraId="69892A6A" w14:textId="77777777" w:rsidR="00B428DF" w:rsidRPr="000F0625" w:rsidRDefault="00B428DF" w:rsidP="00080905">
            <w:pPr>
              <w:spacing w:line="480" w:lineRule="auto"/>
              <w:rPr>
                <w:bCs/>
                <w:lang w:val="en-GB"/>
              </w:rPr>
            </w:pPr>
            <w:r w:rsidRPr="000F0625">
              <w:rPr>
                <w:bCs/>
                <w:lang w:val="en-GB"/>
              </w:rPr>
              <w:t>&lt;€</w:t>
            </w:r>
            <w:r w:rsidRPr="000F0625">
              <w:rPr>
                <w:bCs/>
                <w:vertAlign w:val="subscript"/>
                <w:lang w:val="en-GB"/>
              </w:rPr>
              <w:t>2017</w:t>
            </w:r>
            <w:r w:rsidRPr="000F0625">
              <w:rPr>
                <w:bCs/>
                <w:lang w:val="en-GB"/>
              </w:rPr>
              <w:t>0.001/pkm</w:t>
            </w:r>
          </w:p>
        </w:tc>
        <w:tc>
          <w:tcPr>
            <w:tcW w:w="1403" w:type="dxa"/>
          </w:tcPr>
          <w:p w14:paraId="4E2D1C18" w14:textId="77777777" w:rsidR="00B428DF" w:rsidRPr="000F0625" w:rsidRDefault="00B428DF" w:rsidP="00080905">
            <w:pPr>
              <w:spacing w:line="480" w:lineRule="auto"/>
              <w:rPr>
                <w:bCs/>
                <w:lang w:val="en-GB"/>
              </w:rPr>
            </w:pPr>
            <w:r w:rsidRPr="000F0625">
              <w:rPr>
                <w:bCs/>
                <w:lang w:val="en-GB"/>
              </w:rPr>
              <w:t>0</w:t>
            </w:r>
          </w:p>
        </w:tc>
        <w:tc>
          <w:tcPr>
            <w:tcW w:w="3583" w:type="dxa"/>
          </w:tcPr>
          <w:p w14:paraId="339B9AAA" w14:textId="77777777" w:rsidR="00B428DF" w:rsidRPr="000F0625" w:rsidRDefault="00B428DF" w:rsidP="00080905">
            <w:pPr>
              <w:spacing w:line="480" w:lineRule="auto"/>
              <w:rPr>
                <w:bCs/>
                <w:lang w:val="en-GB"/>
              </w:rPr>
            </w:pPr>
            <w:r w:rsidRPr="000F0625">
              <w:rPr>
                <w:bCs/>
                <w:lang w:val="en-GB"/>
              </w:rPr>
              <w:t>Authors</w:t>
            </w:r>
          </w:p>
        </w:tc>
      </w:tr>
      <w:tr w:rsidR="00B428DF" w:rsidRPr="000F0625" w14:paraId="6C806645" w14:textId="77777777" w:rsidTr="00080905">
        <w:tc>
          <w:tcPr>
            <w:tcW w:w="2741" w:type="dxa"/>
          </w:tcPr>
          <w:p w14:paraId="70771BD6" w14:textId="77777777" w:rsidR="00B428DF" w:rsidRPr="000F0625" w:rsidRDefault="00B428DF" w:rsidP="00080905">
            <w:pPr>
              <w:spacing w:line="480" w:lineRule="auto"/>
              <w:rPr>
                <w:b/>
                <w:bCs/>
                <w:lang w:val="en-GB"/>
              </w:rPr>
            </w:pPr>
            <w:r w:rsidRPr="000F0625">
              <w:rPr>
                <w:b/>
                <w:bCs/>
                <w:lang w:val="en-GB"/>
              </w:rPr>
              <w:t>Assessment Walking</w:t>
            </w:r>
          </w:p>
        </w:tc>
        <w:tc>
          <w:tcPr>
            <w:tcW w:w="1678" w:type="dxa"/>
          </w:tcPr>
          <w:p w14:paraId="2473C1ED" w14:textId="77777777" w:rsidR="00B428DF" w:rsidRPr="000F0625" w:rsidRDefault="00B428DF" w:rsidP="00080905">
            <w:pPr>
              <w:spacing w:line="480" w:lineRule="auto"/>
              <w:rPr>
                <w:b/>
                <w:bCs/>
                <w:lang w:val="en-GB"/>
              </w:rPr>
            </w:pPr>
            <w:r>
              <w:rPr>
                <w:b/>
                <w:bCs/>
                <w:lang w:val="en-GB"/>
              </w:rPr>
              <w:t>Cost external</w:t>
            </w:r>
          </w:p>
        </w:tc>
        <w:tc>
          <w:tcPr>
            <w:tcW w:w="1403" w:type="dxa"/>
          </w:tcPr>
          <w:p w14:paraId="07E36B35" w14:textId="77777777" w:rsidR="00B428DF" w:rsidRPr="000F0625" w:rsidRDefault="00B428DF" w:rsidP="00080905">
            <w:pPr>
              <w:spacing w:line="480" w:lineRule="auto"/>
              <w:rPr>
                <w:b/>
                <w:bCs/>
                <w:lang w:val="en-GB"/>
              </w:rPr>
            </w:pPr>
            <w:r w:rsidRPr="000F0625">
              <w:rPr>
                <w:b/>
                <w:bCs/>
                <w:lang w:val="en-GB"/>
              </w:rPr>
              <w:t>Cost private</w:t>
            </w:r>
          </w:p>
        </w:tc>
        <w:tc>
          <w:tcPr>
            <w:tcW w:w="3583" w:type="dxa"/>
          </w:tcPr>
          <w:p w14:paraId="3A947605"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0E4BD964" w14:textId="77777777" w:rsidTr="00080905">
        <w:trPr>
          <w:trHeight w:val="296"/>
        </w:trPr>
        <w:tc>
          <w:tcPr>
            <w:tcW w:w="2741" w:type="dxa"/>
          </w:tcPr>
          <w:p w14:paraId="14E057B6" w14:textId="77777777" w:rsidR="00B428DF" w:rsidRPr="000F0625" w:rsidRDefault="00B428DF" w:rsidP="00080905">
            <w:pPr>
              <w:spacing w:line="480" w:lineRule="auto"/>
              <w:rPr>
                <w:bCs/>
                <w:lang w:val="en-GB"/>
              </w:rPr>
            </w:pPr>
            <w:r w:rsidRPr="000F0625">
              <w:rPr>
                <w:bCs/>
                <w:lang w:val="en-GB"/>
              </w:rPr>
              <w:t>Maintenance costs</w:t>
            </w:r>
          </w:p>
        </w:tc>
        <w:tc>
          <w:tcPr>
            <w:tcW w:w="1678" w:type="dxa"/>
          </w:tcPr>
          <w:p w14:paraId="7D91914B" w14:textId="77777777" w:rsidR="00B428DF" w:rsidRPr="000F0625" w:rsidRDefault="00B428DF" w:rsidP="00080905">
            <w:pPr>
              <w:spacing w:line="480" w:lineRule="auto"/>
              <w:rPr>
                <w:bCs/>
                <w:lang w:val="en-GB"/>
              </w:rPr>
            </w:pPr>
            <w:r w:rsidRPr="000F0625">
              <w:rPr>
                <w:bCs/>
                <w:lang w:val="en-GB"/>
              </w:rPr>
              <w:t>&lt;€</w:t>
            </w:r>
            <w:r w:rsidRPr="000F0625">
              <w:rPr>
                <w:bCs/>
                <w:vertAlign w:val="subscript"/>
                <w:lang w:val="en-GB"/>
              </w:rPr>
              <w:t>2017</w:t>
            </w:r>
            <w:r w:rsidRPr="000F0625">
              <w:rPr>
                <w:bCs/>
                <w:lang w:val="en-GB"/>
              </w:rPr>
              <w:t>0.001/pkm</w:t>
            </w:r>
          </w:p>
        </w:tc>
        <w:tc>
          <w:tcPr>
            <w:tcW w:w="1403" w:type="dxa"/>
          </w:tcPr>
          <w:p w14:paraId="547FE294" w14:textId="77777777" w:rsidR="00B428DF" w:rsidRPr="000F0625" w:rsidRDefault="00B428DF" w:rsidP="00080905">
            <w:pPr>
              <w:spacing w:line="480" w:lineRule="auto"/>
              <w:rPr>
                <w:bCs/>
                <w:lang w:val="en-GB"/>
              </w:rPr>
            </w:pPr>
            <w:r w:rsidRPr="000F0625">
              <w:rPr>
                <w:bCs/>
                <w:lang w:val="en-GB"/>
              </w:rPr>
              <w:t>0</w:t>
            </w:r>
          </w:p>
        </w:tc>
        <w:tc>
          <w:tcPr>
            <w:tcW w:w="3583" w:type="dxa"/>
          </w:tcPr>
          <w:p w14:paraId="49243D2E" w14:textId="77777777" w:rsidR="00B428DF" w:rsidRPr="000F0625" w:rsidRDefault="00B428DF" w:rsidP="00080905">
            <w:pPr>
              <w:spacing w:line="480" w:lineRule="auto"/>
              <w:rPr>
                <w:bCs/>
                <w:lang w:val="en-GB"/>
              </w:rPr>
            </w:pPr>
            <w:r w:rsidRPr="000F0625">
              <w:rPr>
                <w:bCs/>
                <w:lang w:val="en-GB"/>
              </w:rPr>
              <w:t>Authors</w:t>
            </w:r>
          </w:p>
        </w:tc>
      </w:tr>
    </w:tbl>
    <w:p w14:paraId="0EDF9657" w14:textId="77777777" w:rsidR="00B428DF" w:rsidRPr="000F0625" w:rsidRDefault="00B428DF" w:rsidP="00B428DF">
      <w:pPr>
        <w:spacing w:line="480" w:lineRule="auto"/>
        <w:rPr>
          <w:bCs/>
        </w:rPr>
      </w:pPr>
    </w:p>
    <w:p w14:paraId="3297463F" w14:textId="77777777" w:rsidR="00B428DF" w:rsidRPr="000F0625" w:rsidRDefault="00B428DF" w:rsidP="00B428DF">
      <w:pPr>
        <w:spacing w:line="480" w:lineRule="auto"/>
        <w:jc w:val="both"/>
        <w:rPr>
          <w:bCs/>
        </w:rPr>
      </w:pPr>
    </w:p>
    <w:p w14:paraId="706EB307"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Resource requirements</w:t>
      </w:r>
    </w:p>
    <w:p w14:paraId="61D71312" w14:textId="77777777" w:rsidR="00B428DF" w:rsidRPr="000F0625" w:rsidRDefault="00B428DF" w:rsidP="00B428DF">
      <w:pPr>
        <w:spacing w:line="480" w:lineRule="auto"/>
        <w:jc w:val="both"/>
        <w:rPr>
          <w:bCs/>
        </w:rPr>
      </w:pPr>
      <w:r w:rsidRPr="000F0625">
        <w:rPr>
          <w:bCs/>
        </w:rPr>
        <w:t>Korzhenevych et al. (2014) suggest, for the EU28, that the marginal costs for cars may vary between €</w:t>
      </w:r>
      <w:r w:rsidRPr="000F0625">
        <w:rPr>
          <w:bCs/>
          <w:vertAlign w:val="subscript"/>
        </w:rPr>
        <w:t>2010</w:t>
      </w:r>
      <w:r w:rsidRPr="000F0625">
        <w:rPr>
          <w:bCs/>
        </w:rPr>
        <w:t>0.005/vkm to €</w:t>
      </w:r>
      <w:r w:rsidRPr="000F0625">
        <w:rPr>
          <w:bCs/>
          <w:vertAlign w:val="subscript"/>
        </w:rPr>
        <w:t>2010</w:t>
      </w:r>
      <w:r w:rsidRPr="000F0625">
        <w:rPr>
          <w:bCs/>
        </w:rPr>
        <w:t>0.019/vkm, depending on vehicle size, Euro-class and environment (urban/rural/motorways). An average value for passenger cars is about €</w:t>
      </w:r>
      <w:r w:rsidRPr="000F0625">
        <w:rPr>
          <w:bCs/>
          <w:vertAlign w:val="subscript"/>
        </w:rPr>
        <w:t>2017</w:t>
      </w:r>
      <w:r w:rsidRPr="000F0625">
        <w:rPr>
          <w:bCs/>
        </w:rPr>
        <w:t>0.007/pkm. There is limited data for bicycle production, though a study in the USA suggests that th</w:t>
      </w:r>
      <w:r>
        <w:rPr>
          <w:bCs/>
        </w:rPr>
        <w:t>is cost</w:t>
      </w:r>
      <w:r w:rsidRPr="000F0625">
        <w:rPr>
          <w:bCs/>
        </w:rPr>
        <w:t xml:space="preserve"> may be close to two orders of magnitude lower (Dave 2010) (Table 8). </w:t>
      </w:r>
    </w:p>
    <w:p w14:paraId="13037960" w14:textId="77777777" w:rsidR="00B428DF" w:rsidRPr="000F0625" w:rsidRDefault="00B428DF" w:rsidP="00B428DF">
      <w:pPr>
        <w:spacing w:line="480" w:lineRule="auto"/>
        <w:rPr>
          <w:bCs/>
        </w:rPr>
      </w:pPr>
    </w:p>
    <w:p w14:paraId="07541791" w14:textId="77777777" w:rsidR="00B428DF" w:rsidRPr="000F0625" w:rsidRDefault="00B428DF" w:rsidP="00B428DF">
      <w:pPr>
        <w:spacing w:line="480" w:lineRule="auto"/>
        <w:rPr>
          <w:b/>
          <w:bCs/>
        </w:rPr>
      </w:pPr>
      <w:r w:rsidRPr="000F0625">
        <w:rPr>
          <w:b/>
          <w:bCs/>
        </w:rPr>
        <w:t>Table 8: Cost assessment of up and downstream processes</w:t>
      </w:r>
    </w:p>
    <w:tbl>
      <w:tblPr>
        <w:tblStyle w:val="Tabelraster"/>
        <w:tblW w:w="9107" w:type="dxa"/>
        <w:tblInd w:w="108" w:type="dxa"/>
        <w:tblLook w:val="04A0" w:firstRow="1" w:lastRow="0" w:firstColumn="1" w:lastColumn="0" w:noHBand="0" w:noVBand="1"/>
      </w:tblPr>
      <w:tblGrid>
        <w:gridCol w:w="2937"/>
        <w:gridCol w:w="1678"/>
        <w:gridCol w:w="1542"/>
        <w:gridCol w:w="2950"/>
      </w:tblGrid>
      <w:tr w:rsidR="00B428DF" w:rsidRPr="000F0625" w14:paraId="08C92914" w14:textId="77777777" w:rsidTr="00080905">
        <w:tc>
          <w:tcPr>
            <w:tcW w:w="2937" w:type="dxa"/>
          </w:tcPr>
          <w:p w14:paraId="4018D84A" w14:textId="77777777" w:rsidR="00B428DF" w:rsidRPr="000F0625" w:rsidRDefault="00B428DF" w:rsidP="00080905">
            <w:pPr>
              <w:spacing w:line="480" w:lineRule="auto"/>
              <w:rPr>
                <w:b/>
                <w:bCs/>
                <w:lang w:val="en-GB"/>
              </w:rPr>
            </w:pPr>
            <w:r w:rsidRPr="000F0625">
              <w:rPr>
                <w:b/>
                <w:bCs/>
                <w:lang w:val="en-GB"/>
              </w:rPr>
              <w:t>Assessment Cars</w:t>
            </w:r>
          </w:p>
        </w:tc>
        <w:tc>
          <w:tcPr>
            <w:tcW w:w="1678" w:type="dxa"/>
          </w:tcPr>
          <w:p w14:paraId="142E54B8" w14:textId="77777777" w:rsidR="00B428DF" w:rsidRPr="000F0625" w:rsidRDefault="00B428DF" w:rsidP="00080905">
            <w:pPr>
              <w:spacing w:line="480" w:lineRule="auto"/>
              <w:rPr>
                <w:b/>
                <w:bCs/>
                <w:lang w:val="en-GB"/>
              </w:rPr>
            </w:pPr>
            <w:r>
              <w:rPr>
                <w:b/>
                <w:bCs/>
                <w:lang w:val="en-GB"/>
              </w:rPr>
              <w:t>Cost external</w:t>
            </w:r>
          </w:p>
        </w:tc>
        <w:tc>
          <w:tcPr>
            <w:tcW w:w="1542" w:type="dxa"/>
          </w:tcPr>
          <w:p w14:paraId="5074D568" w14:textId="77777777" w:rsidR="00B428DF" w:rsidRPr="000F0625" w:rsidRDefault="00B428DF" w:rsidP="00080905">
            <w:pPr>
              <w:spacing w:line="480" w:lineRule="auto"/>
              <w:rPr>
                <w:b/>
                <w:bCs/>
                <w:lang w:val="en-GB"/>
              </w:rPr>
            </w:pPr>
            <w:r w:rsidRPr="000F0625">
              <w:rPr>
                <w:b/>
                <w:bCs/>
                <w:lang w:val="en-GB"/>
              </w:rPr>
              <w:t>Cost private</w:t>
            </w:r>
          </w:p>
        </w:tc>
        <w:tc>
          <w:tcPr>
            <w:tcW w:w="2950" w:type="dxa"/>
          </w:tcPr>
          <w:p w14:paraId="2D2BEA52"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2E040CC1" w14:textId="77777777" w:rsidTr="00080905">
        <w:trPr>
          <w:trHeight w:val="296"/>
        </w:trPr>
        <w:tc>
          <w:tcPr>
            <w:tcW w:w="2937" w:type="dxa"/>
          </w:tcPr>
          <w:p w14:paraId="28399D37" w14:textId="77777777" w:rsidR="00B428DF" w:rsidRPr="000F0625" w:rsidRDefault="00B428DF" w:rsidP="00080905">
            <w:pPr>
              <w:spacing w:line="480" w:lineRule="auto"/>
              <w:rPr>
                <w:bCs/>
                <w:lang w:val="en-GB"/>
              </w:rPr>
            </w:pPr>
            <w:r w:rsidRPr="000F0625">
              <w:rPr>
                <w:bCs/>
                <w:lang w:val="en-GB"/>
              </w:rPr>
              <w:t>Resource requirements</w:t>
            </w:r>
          </w:p>
        </w:tc>
        <w:tc>
          <w:tcPr>
            <w:tcW w:w="1678" w:type="dxa"/>
          </w:tcPr>
          <w:p w14:paraId="4550FC41" w14:textId="77777777" w:rsidR="00B428DF" w:rsidRPr="000F0625" w:rsidRDefault="00B428DF" w:rsidP="00080905">
            <w:pPr>
              <w:spacing w:line="480" w:lineRule="auto"/>
              <w:rPr>
                <w:bCs/>
                <w:lang w:val="en-GB"/>
              </w:rPr>
            </w:pPr>
            <w:r w:rsidRPr="000F0625">
              <w:rPr>
                <w:bCs/>
                <w:lang w:val="en-GB"/>
              </w:rPr>
              <w:t>€</w:t>
            </w:r>
            <w:r w:rsidRPr="000F0625">
              <w:rPr>
                <w:bCs/>
                <w:vertAlign w:val="subscript"/>
                <w:lang w:val="en-GB"/>
              </w:rPr>
              <w:t>2017</w:t>
            </w:r>
            <w:r w:rsidRPr="000F0625">
              <w:rPr>
                <w:bCs/>
                <w:lang w:val="en-GB"/>
              </w:rPr>
              <w:t>0.007/pkm</w:t>
            </w:r>
          </w:p>
        </w:tc>
        <w:tc>
          <w:tcPr>
            <w:tcW w:w="1542" w:type="dxa"/>
          </w:tcPr>
          <w:p w14:paraId="4EEA2912" w14:textId="77777777" w:rsidR="00B428DF" w:rsidRPr="000F0625" w:rsidRDefault="00B428DF" w:rsidP="00080905">
            <w:pPr>
              <w:spacing w:line="480" w:lineRule="auto"/>
              <w:rPr>
                <w:bCs/>
                <w:lang w:val="en-GB"/>
              </w:rPr>
            </w:pPr>
            <w:r w:rsidRPr="000F0625">
              <w:rPr>
                <w:bCs/>
                <w:lang w:val="en-GB"/>
              </w:rPr>
              <w:t>0</w:t>
            </w:r>
          </w:p>
        </w:tc>
        <w:tc>
          <w:tcPr>
            <w:tcW w:w="2950" w:type="dxa"/>
          </w:tcPr>
          <w:p w14:paraId="0836811E" w14:textId="77777777" w:rsidR="00B428DF" w:rsidRPr="000F0625" w:rsidRDefault="00B428DF" w:rsidP="00080905">
            <w:pPr>
              <w:spacing w:line="480" w:lineRule="auto"/>
              <w:rPr>
                <w:bCs/>
                <w:lang w:val="en-GB"/>
              </w:rPr>
            </w:pPr>
            <w:r w:rsidRPr="000F0625">
              <w:rPr>
                <w:bCs/>
                <w:lang w:val="en-GB"/>
              </w:rPr>
              <w:t>Korzhenevych et al. 2014</w:t>
            </w:r>
          </w:p>
        </w:tc>
      </w:tr>
      <w:tr w:rsidR="00B428DF" w:rsidRPr="000F0625" w14:paraId="3C3A5EF0" w14:textId="77777777" w:rsidTr="00080905">
        <w:tc>
          <w:tcPr>
            <w:tcW w:w="2937" w:type="dxa"/>
          </w:tcPr>
          <w:p w14:paraId="6C6A0C12" w14:textId="77777777" w:rsidR="00B428DF" w:rsidRPr="000F0625" w:rsidRDefault="00B428DF" w:rsidP="00080905">
            <w:pPr>
              <w:spacing w:line="480" w:lineRule="auto"/>
              <w:rPr>
                <w:b/>
                <w:bCs/>
                <w:lang w:val="en-GB"/>
              </w:rPr>
            </w:pPr>
            <w:r w:rsidRPr="000F0625">
              <w:rPr>
                <w:b/>
                <w:bCs/>
                <w:lang w:val="en-GB"/>
              </w:rPr>
              <w:t>Assessment Bicycles</w:t>
            </w:r>
          </w:p>
        </w:tc>
        <w:tc>
          <w:tcPr>
            <w:tcW w:w="1678" w:type="dxa"/>
          </w:tcPr>
          <w:p w14:paraId="3B5E0514" w14:textId="77777777" w:rsidR="00B428DF" w:rsidRPr="000F0625" w:rsidRDefault="00B428DF" w:rsidP="00080905">
            <w:pPr>
              <w:spacing w:line="480" w:lineRule="auto"/>
              <w:rPr>
                <w:b/>
                <w:bCs/>
                <w:lang w:val="en-GB"/>
              </w:rPr>
            </w:pPr>
            <w:r>
              <w:rPr>
                <w:b/>
                <w:bCs/>
                <w:lang w:val="en-GB"/>
              </w:rPr>
              <w:t>Cost external</w:t>
            </w:r>
          </w:p>
        </w:tc>
        <w:tc>
          <w:tcPr>
            <w:tcW w:w="1542" w:type="dxa"/>
          </w:tcPr>
          <w:p w14:paraId="20F59188" w14:textId="77777777" w:rsidR="00B428DF" w:rsidRPr="000F0625" w:rsidRDefault="00B428DF" w:rsidP="00080905">
            <w:pPr>
              <w:spacing w:line="480" w:lineRule="auto"/>
              <w:rPr>
                <w:b/>
                <w:bCs/>
                <w:lang w:val="en-GB"/>
              </w:rPr>
            </w:pPr>
            <w:r w:rsidRPr="000F0625">
              <w:rPr>
                <w:b/>
                <w:bCs/>
                <w:lang w:val="en-GB"/>
              </w:rPr>
              <w:t>Cost private</w:t>
            </w:r>
          </w:p>
        </w:tc>
        <w:tc>
          <w:tcPr>
            <w:tcW w:w="2950" w:type="dxa"/>
          </w:tcPr>
          <w:p w14:paraId="07DCC9E7"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11FFE7D9" w14:textId="77777777" w:rsidTr="00080905">
        <w:trPr>
          <w:trHeight w:val="296"/>
        </w:trPr>
        <w:tc>
          <w:tcPr>
            <w:tcW w:w="2937" w:type="dxa"/>
          </w:tcPr>
          <w:p w14:paraId="2658E39F" w14:textId="77777777" w:rsidR="00B428DF" w:rsidRPr="000F0625" w:rsidRDefault="00B428DF" w:rsidP="00080905">
            <w:pPr>
              <w:spacing w:line="480" w:lineRule="auto"/>
              <w:rPr>
                <w:bCs/>
                <w:lang w:val="en-GB"/>
              </w:rPr>
            </w:pPr>
            <w:r w:rsidRPr="000F0625">
              <w:rPr>
                <w:bCs/>
                <w:lang w:val="en-GB"/>
              </w:rPr>
              <w:t xml:space="preserve">Energy requirements lifecycle </w:t>
            </w:r>
          </w:p>
        </w:tc>
        <w:tc>
          <w:tcPr>
            <w:tcW w:w="1678" w:type="dxa"/>
          </w:tcPr>
          <w:p w14:paraId="3B211AB6" w14:textId="77777777" w:rsidR="00B428DF" w:rsidRPr="000F0625" w:rsidRDefault="00B428DF" w:rsidP="00080905">
            <w:pPr>
              <w:spacing w:line="480" w:lineRule="auto"/>
              <w:rPr>
                <w:bCs/>
                <w:lang w:val="en-GB"/>
              </w:rPr>
            </w:pPr>
            <w:r w:rsidRPr="000F0625">
              <w:rPr>
                <w:bCs/>
                <w:lang w:val="en-GB"/>
              </w:rPr>
              <w:t>&lt;€</w:t>
            </w:r>
            <w:r w:rsidRPr="000F0625">
              <w:rPr>
                <w:bCs/>
                <w:vertAlign w:val="subscript"/>
                <w:lang w:val="en-GB"/>
              </w:rPr>
              <w:t>2017</w:t>
            </w:r>
            <w:r w:rsidRPr="000F0625">
              <w:rPr>
                <w:bCs/>
                <w:lang w:val="en-GB"/>
              </w:rPr>
              <w:t>0.001/pkm</w:t>
            </w:r>
          </w:p>
        </w:tc>
        <w:tc>
          <w:tcPr>
            <w:tcW w:w="1542" w:type="dxa"/>
          </w:tcPr>
          <w:p w14:paraId="000A8AB1" w14:textId="77777777" w:rsidR="00B428DF" w:rsidRPr="000F0625" w:rsidRDefault="00B428DF" w:rsidP="00080905">
            <w:pPr>
              <w:spacing w:line="480" w:lineRule="auto"/>
              <w:rPr>
                <w:bCs/>
                <w:lang w:val="en-GB"/>
              </w:rPr>
            </w:pPr>
            <w:r w:rsidRPr="000F0625">
              <w:rPr>
                <w:bCs/>
                <w:lang w:val="en-GB"/>
              </w:rPr>
              <w:t>0</w:t>
            </w:r>
          </w:p>
        </w:tc>
        <w:tc>
          <w:tcPr>
            <w:tcW w:w="2950" w:type="dxa"/>
          </w:tcPr>
          <w:p w14:paraId="2F776239" w14:textId="77777777" w:rsidR="00B428DF" w:rsidRPr="000F0625" w:rsidRDefault="00B428DF" w:rsidP="00080905">
            <w:pPr>
              <w:spacing w:line="480" w:lineRule="auto"/>
              <w:rPr>
                <w:bCs/>
                <w:lang w:val="en-GB"/>
              </w:rPr>
            </w:pPr>
            <w:r w:rsidRPr="000F0625">
              <w:rPr>
                <w:bCs/>
                <w:lang w:val="en-GB"/>
              </w:rPr>
              <w:t>Dave 2010</w:t>
            </w:r>
          </w:p>
        </w:tc>
      </w:tr>
      <w:tr w:rsidR="00B428DF" w:rsidRPr="000F0625" w14:paraId="1AC1591F" w14:textId="77777777" w:rsidTr="00080905">
        <w:tc>
          <w:tcPr>
            <w:tcW w:w="2937" w:type="dxa"/>
          </w:tcPr>
          <w:p w14:paraId="216E275B" w14:textId="77777777" w:rsidR="00B428DF" w:rsidRPr="000F0625" w:rsidRDefault="00B428DF" w:rsidP="00080905">
            <w:pPr>
              <w:spacing w:line="480" w:lineRule="auto"/>
              <w:rPr>
                <w:b/>
                <w:bCs/>
                <w:lang w:val="en-GB"/>
              </w:rPr>
            </w:pPr>
            <w:r w:rsidRPr="000F0625">
              <w:rPr>
                <w:b/>
                <w:bCs/>
                <w:lang w:val="en-GB"/>
              </w:rPr>
              <w:t>Assessment Walking</w:t>
            </w:r>
          </w:p>
        </w:tc>
        <w:tc>
          <w:tcPr>
            <w:tcW w:w="1678" w:type="dxa"/>
          </w:tcPr>
          <w:p w14:paraId="19E89864" w14:textId="77777777" w:rsidR="00B428DF" w:rsidRPr="000F0625" w:rsidRDefault="00B428DF" w:rsidP="00080905">
            <w:pPr>
              <w:spacing w:line="480" w:lineRule="auto"/>
              <w:rPr>
                <w:b/>
                <w:bCs/>
                <w:lang w:val="en-GB"/>
              </w:rPr>
            </w:pPr>
            <w:r>
              <w:rPr>
                <w:b/>
                <w:bCs/>
                <w:lang w:val="en-GB"/>
              </w:rPr>
              <w:t>Cost external</w:t>
            </w:r>
          </w:p>
        </w:tc>
        <w:tc>
          <w:tcPr>
            <w:tcW w:w="1542" w:type="dxa"/>
          </w:tcPr>
          <w:p w14:paraId="0B2AEF00" w14:textId="77777777" w:rsidR="00B428DF" w:rsidRPr="000F0625" w:rsidRDefault="00B428DF" w:rsidP="00080905">
            <w:pPr>
              <w:spacing w:line="480" w:lineRule="auto"/>
              <w:rPr>
                <w:b/>
                <w:bCs/>
                <w:lang w:val="en-GB"/>
              </w:rPr>
            </w:pPr>
            <w:r w:rsidRPr="000F0625">
              <w:rPr>
                <w:b/>
                <w:bCs/>
                <w:lang w:val="en-GB"/>
              </w:rPr>
              <w:t>Cost private</w:t>
            </w:r>
          </w:p>
        </w:tc>
        <w:tc>
          <w:tcPr>
            <w:tcW w:w="2950" w:type="dxa"/>
          </w:tcPr>
          <w:p w14:paraId="091F8F19"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0CDE9BED" w14:textId="77777777" w:rsidTr="00080905">
        <w:trPr>
          <w:trHeight w:val="296"/>
        </w:trPr>
        <w:tc>
          <w:tcPr>
            <w:tcW w:w="2937" w:type="dxa"/>
          </w:tcPr>
          <w:p w14:paraId="0684C618" w14:textId="77777777" w:rsidR="00B428DF" w:rsidRPr="000F0625" w:rsidRDefault="00B428DF" w:rsidP="00080905">
            <w:pPr>
              <w:spacing w:line="480" w:lineRule="auto"/>
              <w:rPr>
                <w:bCs/>
                <w:lang w:val="en-GB"/>
              </w:rPr>
            </w:pPr>
            <w:r w:rsidRPr="000F0625">
              <w:rPr>
                <w:bCs/>
                <w:lang w:val="en-GB"/>
              </w:rPr>
              <w:t>Resource requirements</w:t>
            </w:r>
          </w:p>
        </w:tc>
        <w:tc>
          <w:tcPr>
            <w:tcW w:w="1678" w:type="dxa"/>
          </w:tcPr>
          <w:p w14:paraId="2EB0334D" w14:textId="77777777" w:rsidR="00B428DF" w:rsidRPr="000F0625" w:rsidRDefault="00B428DF" w:rsidP="00080905">
            <w:pPr>
              <w:spacing w:line="480" w:lineRule="auto"/>
              <w:rPr>
                <w:bCs/>
                <w:lang w:val="en-GB"/>
              </w:rPr>
            </w:pPr>
            <w:r w:rsidRPr="000F0625">
              <w:rPr>
                <w:bCs/>
                <w:lang w:val="en-GB"/>
              </w:rPr>
              <w:t>&lt;€</w:t>
            </w:r>
            <w:r w:rsidRPr="000F0625">
              <w:rPr>
                <w:bCs/>
                <w:vertAlign w:val="subscript"/>
                <w:lang w:val="en-GB"/>
              </w:rPr>
              <w:t>2017</w:t>
            </w:r>
            <w:r w:rsidRPr="000F0625">
              <w:rPr>
                <w:bCs/>
                <w:lang w:val="en-GB"/>
              </w:rPr>
              <w:t>0.001/pkm</w:t>
            </w:r>
          </w:p>
        </w:tc>
        <w:tc>
          <w:tcPr>
            <w:tcW w:w="1542" w:type="dxa"/>
          </w:tcPr>
          <w:p w14:paraId="38ACEDBC" w14:textId="77777777" w:rsidR="00B428DF" w:rsidRPr="000F0625" w:rsidRDefault="00B428DF" w:rsidP="00080905">
            <w:pPr>
              <w:spacing w:line="480" w:lineRule="auto"/>
              <w:rPr>
                <w:bCs/>
                <w:lang w:val="en-GB"/>
              </w:rPr>
            </w:pPr>
            <w:r w:rsidRPr="000F0625">
              <w:rPr>
                <w:bCs/>
                <w:lang w:val="en-GB"/>
              </w:rPr>
              <w:t>0</w:t>
            </w:r>
          </w:p>
        </w:tc>
        <w:tc>
          <w:tcPr>
            <w:tcW w:w="2950" w:type="dxa"/>
          </w:tcPr>
          <w:p w14:paraId="5D291A30" w14:textId="77777777" w:rsidR="00B428DF" w:rsidRPr="000F0625" w:rsidRDefault="00B428DF" w:rsidP="00080905">
            <w:pPr>
              <w:spacing w:line="480" w:lineRule="auto"/>
              <w:rPr>
                <w:bCs/>
                <w:lang w:val="en-GB"/>
              </w:rPr>
            </w:pPr>
            <w:r w:rsidRPr="000F0625">
              <w:rPr>
                <w:bCs/>
                <w:lang w:val="en-GB"/>
              </w:rPr>
              <w:t>Authors</w:t>
            </w:r>
          </w:p>
        </w:tc>
      </w:tr>
    </w:tbl>
    <w:p w14:paraId="53108992" w14:textId="77777777" w:rsidR="00B428DF" w:rsidRPr="000F0625" w:rsidRDefault="00B428DF" w:rsidP="00B428DF">
      <w:pPr>
        <w:spacing w:line="480" w:lineRule="auto"/>
        <w:rPr>
          <w:bCs/>
        </w:rPr>
      </w:pPr>
    </w:p>
    <w:p w14:paraId="3C7A81E7" w14:textId="77777777" w:rsidR="00B428DF" w:rsidRPr="000F0625" w:rsidRDefault="00B428DF" w:rsidP="00B428DF">
      <w:pPr>
        <w:spacing w:line="480" w:lineRule="auto"/>
        <w:rPr>
          <w:bCs/>
        </w:rPr>
      </w:pPr>
    </w:p>
    <w:p w14:paraId="42D648EB"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 xml:space="preserve">Vehicle operation </w:t>
      </w:r>
    </w:p>
    <w:p w14:paraId="31B83C95" w14:textId="77777777" w:rsidR="00B428DF" w:rsidRPr="000F0625" w:rsidRDefault="00B428DF" w:rsidP="00B428DF">
      <w:pPr>
        <w:spacing w:line="480" w:lineRule="auto"/>
        <w:jc w:val="both"/>
        <w:rPr>
          <w:bCs/>
        </w:rPr>
      </w:pPr>
      <w:r w:rsidRPr="000F0625">
        <w:rPr>
          <w:bCs/>
        </w:rPr>
        <w:t xml:space="preserve">A study by German car association ADAC (2017) estimates that </w:t>
      </w:r>
      <w:r>
        <w:rPr>
          <w:bCs/>
        </w:rPr>
        <w:t xml:space="preserve">the </w:t>
      </w:r>
      <w:r w:rsidRPr="000F0625">
        <w:rPr>
          <w:bCs/>
        </w:rPr>
        <w:t xml:space="preserve">private cost of vehicle operation </w:t>
      </w:r>
      <w:r>
        <w:rPr>
          <w:bCs/>
        </w:rPr>
        <w:t>is</w:t>
      </w:r>
      <w:r w:rsidRPr="000F0625">
        <w:rPr>
          <w:bCs/>
        </w:rPr>
        <w:t xml:space="preserve"> in the order of €</w:t>
      </w:r>
      <w:r w:rsidRPr="000F0625">
        <w:rPr>
          <w:bCs/>
          <w:vertAlign w:val="subscript"/>
        </w:rPr>
        <w:t>2017</w:t>
      </w:r>
      <w:r w:rsidRPr="000F0625">
        <w:rPr>
          <w:bCs/>
        </w:rPr>
        <w:t>0.266/pkm to €</w:t>
      </w:r>
      <w:r w:rsidRPr="000F0625">
        <w:rPr>
          <w:bCs/>
          <w:vertAlign w:val="subscript"/>
        </w:rPr>
        <w:t>2017</w:t>
      </w:r>
      <w:r w:rsidRPr="000F0625">
        <w:rPr>
          <w:bCs/>
        </w:rPr>
        <w:t xml:space="preserve">0.364/pkm (compact cars), including depreciation, oil and tire wear, inspections and maintenance, oil and fuel costs. In Denmark, fuel costs, engine oil, tires, repair and maintenance, as well as car value depreciation are </w:t>
      </w:r>
      <w:r>
        <w:rPr>
          <w:bCs/>
        </w:rPr>
        <w:t xml:space="preserve">estimated </w:t>
      </w:r>
      <w:r w:rsidRPr="000F0625">
        <w:rPr>
          <w:bCs/>
        </w:rPr>
        <w:t>at €</w:t>
      </w:r>
      <w:r w:rsidRPr="000F0625">
        <w:rPr>
          <w:bCs/>
          <w:vertAlign w:val="subscript"/>
        </w:rPr>
        <w:t>2017</w:t>
      </w:r>
      <w:r w:rsidRPr="000F0625">
        <w:rPr>
          <w:bCs/>
        </w:rPr>
        <w:t xml:space="preserve">0.280/pkm, for the entire car fleet. An average </w:t>
      </w:r>
      <w:r>
        <w:rPr>
          <w:bCs/>
        </w:rPr>
        <w:t xml:space="preserve">amount of </w:t>
      </w:r>
      <w:r w:rsidRPr="000F0625">
        <w:rPr>
          <w:bCs/>
        </w:rPr>
        <w:t>€</w:t>
      </w:r>
      <w:r w:rsidRPr="000F0625">
        <w:rPr>
          <w:bCs/>
          <w:vertAlign w:val="subscript"/>
        </w:rPr>
        <w:t>2017</w:t>
      </w:r>
      <w:r w:rsidRPr="000F0625">
        <w:rPr>
          <w:bCs/>
        </w:rPr>
        <w:t>0.250/pkm is used to represent European values, considering that in many European countries, cars are smaller</w:t>
      </w:r>
      <w:r>
        <w:rPr>
          <w:bCs/>
        </w:rPr>
        <w:t xml:space="preserve"> than in Germany (Table 9)</w:t>
      </w:r>
      <w:r w:rsidRPr="000F0625">
        <w:rPr>
          <w:bCs/>
        </w:rPr>
        <w:t>.</w:t>
      </w:r>
      <w:r>
        <w:rPr>
          <w:bCs/>
        </w:rPr>
        <w:t xml:space="preserve"> </w:t>
      </w:r>
      <w:r w:rsidRPr="000F0625">
        <w:rPr>
          <w:bCs/>
        </w:rPr>
        <w:t>In comparison, the cost of bicycle operation may be one tenth of the cost of a car</w:t>
      </w:r>
      <w:r>
        <w:rPr>
          <w:bCs/>
        </w:rPr>
        <w:t xml:space="preserve">, and has </w:t>
      </w:r>
      <w:r w:rsidRPr="000F0625">
        <w:rPr>
          <w:bCs/>
        </w:rPr>
        <w:t>been estimated to amount to</w:t>
      </w:r>
      <w:r>
        <w:rPr>
          <w:bCs/>
        </w:rPr>
        <w:t xml:space="preserve"> </w:t>
      </w:r>
      <w:r w:rsidRPr="000F0625">
        <w:rPr>
          <w:bCs/>
        </w:rPr>
        <w:t>€</w:t>
      </w:r>
      <w:r w:rsidRPr="000F0625">
        <w:rPr>
          <w:bCs/>
          <w:vertAlign w:val="subscript"/>
        </w:rPr>
        <w:t>2017</w:t>
      </w:r>
      <w:r w:rsidRPr="000F0625">
        <w:rPr>
          <w:bCs/>
        </w:rPr>
        <w:t xml:space="preserve">0.040/pkm </w:t>
      </w:r>
      <w:r>
        <w:rPr>
          <w:bCs/>
        </w:rPr>
        <w:t xml:space="preserve">in Denmark </w:t>
      </w:r>
      <w:r w:rsidRPr="000F0625">
        <w:rPr>
          <w:bCs/>
        </w:rPr>
        <w:t>(Center for Transport Analytics 2017). Including the cost of breakdowns, the overall cost for bicycle operation in Denmark has been quantified at €</w:t>
      </w:r>
      <w:r w:rsidRPr="000F0625">
        <w:rPr>
          <w:bCs/>
          <w:vertAlign w:val="subscript"/>
        </w:rPr>
        <w:t>2017</w:t>
      </w:r>
      <w:r w:rsidRPr="000F0625">
        <w:rPr>
          <w:bCs/>
        </w:rPr>
        <w:t xml:space="preserve">0.078/pkm, which, adjusted to European area values at 60% of Danish GDP </w:t>
      </w:r>
      <w:r>
        <w:rPr>
          <w:bCs/>
        </w:rPr>
        <w:t>corresponds to</w:t>
      </w:r>
      <w:r w:rsidRPr="000F0625">
        <w:rPr>
          <w:bCs/>
        </w:rPr>
        <w:t xml:space="preserve"> €</w:t>
      </w:r>
      <w:r w:rsidRPr="000F0625">
        <w:rPr>
          <w:bCs/>
          <w:vertAlign w:val="subscript"/>
        </w:rPr>
        <w:t>2017</w:t>
      </w:r>
      <w:r w:rsidRPr="000F0625">
        <w:rPr>
          <w:bCs/>
        </w:rPr>
        <w:t xml:space="preserve">0.047/pkm (Table </w:t>
      </w:r>
      <w:r>
        <w:rPr>
          <w:bCs/>
        </w:rPr>
        <w:t>9</w:t>
      </w:r>
      <w:r w:rsidRPr="000F0625">
        <w:rPr>
          <w:bCs/>
        </w:rPr>
        <w:t xml:space="preserve">). The cost of footwear for walking is based on </w:t>
      </w:r>
      <w:r>
        <w:rPr>
          <w:bCs/>
        </w:rPr>
        <w:t xml:space="preserve">Litman and Doherty </w:t>
      </w:r>
      <w:r w:rsidRPr="000F0625">
        <w:rPr>
          <w:bCs/>
        </w:rPr>
        <w:t>(201</w:t>
      </w:r>
      <w:r>
        <w:rPr>
          <w:bCs/>
        </w:rPr>
        <w:t>1</w:t>
      </w:r>
      <w:r w:rsidRPr="000F0625">
        <w:rPr>
          <w:bCs/>
        </w:rPr>
        <w:t>), €</w:t>
      </w:r>
      <w:r w:rsidRPr="000F0625">
        <w:rPr>
          <w:bCs/>
          <w:vertAlign w:val="subscript"/>
        </w:rPr>
        <w:t>2017</w:t>
      </w:r>
      <w:r w:rsidRPr="000F0625">
        <w:rPr>
          <w:bCs/>
        </w:rPr>
        <w:t>0.056/pkm, and adjusted to European area values at 7</w:t>
      </w:r>
      <w:r>
        <w:rPr>
          <w:bCs/>
        </w:rPr>
        <w:t>6</w:t>
      </w:r>
      <w:r w:rsidRPr="000F0625">
        <w:rPr>
          <w:bCs/>
        </w:rPr>
        <w:t>% of nominal GDP value (€</w:t>
      </w:r>
      <w:r w:rsidRPr="000F0625">
        <w:rPr>
          <w:bCs/>
          <w:vertAlign w:val="subscript"/>
        </w:rPr>
        <w:t>2017</w:t>
      </w:r>
      <w:r w:rsidRPr="000F0625">
        <w:rPr>
          <w:bCs/>
        </w:rPr>
        <w:t>0.04</w:t>
      </w:r>
      <w:r>
        <w:rPr>
          <w:bCs/>
        </w:rPr>
        <w:t>1</w:t>
      </w:r>
      <w:r w:rsidRPr="000F0625">
        <w:rPr>
          <w:bCs/>
        </w:rPr>
        <w:t>/pkm).</w:t>
      </w:r>
    </w:p>
    <w:p w14:paraId="03F8F879" w14:textId="77777777" w:rsidR="00B428DF" w:rsidRPr="000F0625" w:rsidRDefault="00B428DF" w:rsidP="00B428DF">
      <w:pPr>
        <w:spacing w:line="480" w:lineRule="auto"/>
        <w:rPr>
          <w:bCs/>
        </w:rPr>
      </w:pPr>
    </w:p>
    <w:p w14:paraId="0160F35B" w14:textId="77777777" w:rsidR="00B428DF" w:rsidRPr="000F0625" w:rsidRDefault="00B428DF" w:rsidP="00B428DF">
      <w:pPr>
        <w:spacing w:line="480" w:lineRule="auto"/>
        <w:rPr>
          <w:b/>
          <w:bCs/>
        </w:rPr>
      </w:pPr>
      <w:r w:rsidRPr="000F0625">
        <w:rPr>
          <w:b/>
          <w:bCs/>
        </w:rPr>
        <w:t xml:space="preserve">Table </w:t>
      </w:r>
      <w:r>
        <w:rPr>
          <w:b/>
          <w:bCs/>
        </w:rPr>
        <w:t>9</w:t>
      </w:r>
      <w:r w:rsidRPr="000F0625">
        <w:rPr>
          <w:b/>
          <w:bCs/>
        </w:rPr>
        <w:t>: Operational costs</w:t>
      </w:r>
    </w:p>
    <w:tbl>
      <w:tblPr>
        <w:tblStyle w:val="Tabelraster"/>
        <w:tblW w:w="9095" w:type="dxa"/>
        <w:tblInd w:w="108" w:type="dxa"/>
        <w:tblLook w:val="04A0" w:firstRow="1" w:lastRow="0" w:firstColumn="1" w:lastColumn="0" w:noHBand="0" w:noVBand="1"/>
      </w:tblPr>
      <w:tblGrid>
        <w:gridCol w:w="2452"/>
        <w:gridCol w:w="1579"/>
        <w:gridCol w:w="1554"/>
        <w:gridCol w:w="3510"/>
      </w:tblGrid>
      <w:tr w:rsidR="00B428DF" w:rsidRPr="000F0625" w14:paraId="10D1A18B" w14:textId="77777777" w:rsidTr="00080905">
        <w:tc>
          <w:tcPr>
            <w:tcW w:w="2452" w:type="dxa"/>
          </w:tcPr>
          <w:p w14:paraId="7F64A2C7" w14:textId="77777777" w:rsidR="00B428DF" w:rsidRPr="000F0625" w:rsidRDefault="00B428DF" w:rsidP="00080905">
            <w:pPr>
              <w:spacing w:line="480" w:lineRule="auto"/>
              <w:rPr>
                <w:b/>
                <w:bCs/>
                <w:lang w:val="en-GB"/>
              </w:rPr>
            </w:pPr>
            <w:r w:rsidRPr="000F0625">
              <w:rPr>
                <w:b/>
                <w:bCs/>
                <w:lang w:val="en-GB"/>
              </w:rPr>
              <w:lastRenderedPageBreak/>
              <w:t>Assessment Cars</w:t>
            </w:r>
          </w:p>
        </w:tc>
        <w:tc>
          <w:tcPr>
            <w:tcW w:w="1579" w:type="dxa"/>
          </w:tcPr>
          <w:p w14:paraId="52C59964" w14:textId="77777777" w:rsidR="00B428DF" w:rsidRPr="000F0625" w:rsidRDefault="00B428DF" w:rsidP="00080905">
            <w:pPr>
              <w:spacing w:line="480" w:lineRule="auto"/>
              <w:rPr>
                <w:b/>
                <w:bCs/>
                <w:lang w:val="en-GB"/>
              </w:rPr>
            </w:pPr>
            <w:r>
              <w:rPr>
                <w:b/>
                <w:bCs/>
                <w:lang w:val="en-GB"/>
              </w:rPr>
              <w:t>Cost external</w:t>
            </w:r>
          </w:p>
        </w:tc>
        <w:tc>
          <w:tcPr>
            <w:tcW w:w="1554" w:type="dxa"/>
          </w:tcPr>
          <w:p w14:paraId="019A6254" w14:textId="77777777" w:rsidR="00B428DF" w:rsidRPr="000F0625" w:rsidRDefault="00B428DF" w:rsidP="00080905">
            <w:pPr>
              <w:spacing w:line="480" w:lineRule="auto"/>
              <w:rPr>
                <w:b/>
                <w:bCs/>
                <w:lang w:val="en-GB"/>
              </w:rPr>
            </w:pPr>
            <w:r w:rsidRPr="000F0625">
              <w:rPr>
                <w:b/>
                <w:bCs/>
                <w:lang w:val="en-GB"/>
              </w:rPr>
              <w:t>Cost private</w:t>
            </w:r>
          </w:p>
        </w:tc>
        <w:tc>
          <w:tcPr>
            <w:tcW w:w="3510" w:type="dxa"/>
          </w:tcPr>
          <w:p w14:paraId="1ABAF18E"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3287E018" w14:textId="77777777" w:rsidTr="00080905">
        <w:trPr>
          <w:trHeight w:val="296"/>
        </w:trPr>
        <w:tc>
          <w:tcPr>
            <w:tcW w:w="2452" w:type="dxa"/>
          </w:tcPr>
          <w:p w14:paraId="552EFF04" w14:textId="77777777" w:rsidR="00B428DF" w:rsidRPr="000F0625" w:rsidRDefault="00B428DF" w:rsidP="00080905">
            <w:pPr>
              <w:spacing w:line="480" w:lineRule="auto"/>
              <w:rPr>
                <w:bCs/>
                <w:lang w:val="en-GB"/>
              </w:rPr>
            </w:pPr>
            <w:r w:rsidRPr="000F0625">
              <w:rPr>
                <w:bCs/>
                <w:lang w:val="en-GB"/>
              </w:rPr>
              <w:t>Vehicle operation costs</w:t>
            </w:r>
          </w:p>
        </w:tc>
        <w:tc>
          <w:tcPr>
            <w:tcW w:w="1579" w:type="dxa"/>
          </w:tcPr>
          <w:p w14:paraId="06FA106A" w14:textId="77777777" w:rsidR="00B428DF" w:rsidRPr="000F0625" w:rsidRDefault="00B428DF" w:rsidP="00080905">
            <w:pPr>
              <w:spacing w:line="480" w:lineRule="auto"/>
              <w:rPr>
                <w:bCs/>
                <w:lang w:val="en-GB"/>
              </w:rPr>
            </w:pPr>
            <w:r w:rsidRPr="000F0625">
              <w:rPr>
                <w:bCs/>
                <w:lang w:val="en-GB"/>
              </w:rPr>
              <w:t>0</w:t>
            </w:r>
          </w:p>
        </w:tc>
        <w:tc>
          <w:tcPr>
            <w:tcW w:w="1554" w:type="dxa"/>
          </w:tcPr>
          <w:p w14:paraId="4254671C" w14:textId="77777777" w:rsidR="00B428DF" w:rsidRPr="000F0625" w:rsidRDefault="00B428DF" w:rsidP="00080905">
            <w:pPr>
              <w:spacing w:line="480" w:lineRule="auto"/>
              <w:rPr>
                <w:bCs/>
                <w:lang w:val="en-GB"/>
              </w:rPr>
            </w:pPr>
            <w:r w:rsidRPr="000F0625">
              <w:rPr>
                <w:bCs/>
                <w:lang w:val="en-GB"/>
              </w:rPr>
              <w:t>€</w:t>
            </w:r>
            <w:r w:rsidRPr="000F0625">
              <w:rPr>
                <w:bCs/>
                <w:vertAlign w:val="subscript"/>
                <w:lang w:val="en-GB"/>
              </w:rPr>
              <w:t>2017</w:t>
            </w:r>
            <w:r w:rsidRPr="000F0625">
              <w:rPr>
                <w:bCs/>
                <w:lang w:val="en-GB"/>
              </w:rPr>
              <w:t>0.250/pkm</w:t>
            </w:r>
          </w:p>
        </w:tc>
        <w:tc>
          <w:tcPr>
            <w:tcW w:w="3510" w:type="dxa"/>
          </w:tcPr>
          <w:p w14:paraId="3B046448" w14:textId="77777777" w:rsidR="00B428DF" w:rsidRPr="000F0625" w:rsidRDefault="00B428DF" w:rsidP="00080905">
            <w:pPr>
              <w:spacing w:line="480" w:lineRule="auto"/>
              <w:rPr>
                <w:bCs/>
                <w:lang w:val="en-GB"/>
              </w:rPr>
            </w:pPr>
            <w:r>
              <w:rPr>
                <w:bCs/>
                <w:lang w:val="en-GB"/>
              </w:rPr>
              <w:t>Authors</w:t>
            </w:r>
          </w:p>
        </w:tc>
      </w:tr>
      <w:tr w:rsidR="00B428DF" w:rsidRPr="000F0625" w14:paraId="164350CC" w14:textId="77777777" w:rsidTr="00080905">
        <w:tc>
          <w:tcPr>
            <w:tcW w:w="2452" w:type="dxa"/>
          </w:tcPr>
          <w:p w14:paraId="21ACCC91" w14:textId="77777777" w:rsidR="00B428DF" w:rsidRPr="000F0625" w:rsidRDefault="00B428DF" w:rsidP="00080905">
            <w:pPr>
              <w:spacing w:line="480" w:lineRule="auto"/>
              <w:rPr>
                <w:b/>
                <w:bCs/>
                <w:lang w:val="en-GB"/>
              </w:rPr>
            </w:pPr>
            <w:r w:rsidRPr="000F0625">
              <w:rPr>
                <w:b/>
                <w:bCs/>
                <w:lang w:val="en-GB"/>
              </w:rPr>
              <w:t>Assessment Bicycles</w:t>
            </w:r>
          </w:p>
        </w:tc>
        <w:tc>
          <w:tcPr>
            <w:tcW w:w="1579" w:type="dxa"/>
          </w:tcPr>
          <w:p w14:paraId="7D3093F7" w14:textId="77777777" w:rsidR="00B428DF" w:rsidRPr="000F0625" w:rsidRDefault="00B428DF" w:rsidP="00080905">
            <w:pPr>
              <w:spacing w:line="480" w:lineRule="auto"/>
              <w:rPr>
                <w:b/>
                <w:bCs/>
                <w:lang w:val="en-GB"/>
              </w:rPr>
            </w:pPr>
            <w:r>
              <w:rPr>
                <w:b/>
                <w:bCs/>
                <w:lang w:val="en-GB"/>
              </w:rPr>
              <w:t>Cost external</w:t>
            </w:r>
          </w:p>
        </w:tc>
        <w:tc>
          <w:tcPr>
            <w:tcW w:w="1554" w:type="dxa"/>
          </w:tcPr>
          <w:p w14:paraId="4BA95AE6" w14:textId="77777777" w:rsidR="00B428DF" w:rsidRPr="000F0625" w:rsidRDefault="00B428DF" w:rsidP="00080905">
            <w:pPr>
              <w:spacing w:line="480" w:lineRule="auto"/>
              <w:rPr>
                <w:b/>
                <w:bCs/>
                <w:lang w:val="en-GB"/>
              </w:rPr>
            </w:pPr>
            <w:r w:rsidRPr="000F0625">
              <w:rPr>
                <w:b/>
                <w:bCs/>
                <w:lang w:val="en-GB"/>
              </w:rPr>
              <w:t>Cost private</w:t>
            </w:r>
          </w:p>
        </w:tc>
        <w:tc>
          <w:tcPr>
            <w:tcW w:w="3510" w:type="dxa"/>
          </w:tcPr>
          <w:p w14:paraId="3B11003F"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514FE69F" w14:textId="77777777" w:rsidTr="00080905">
        <w:trPr>
          <w:trHeight w:val="296"/>
        </w:trPr>
        <w:tc>
          <w:tcPr>
            <w:tcW w:w="2452" w:type="dxa"/>
          </w:tcPr>
          <w:p w14:paraId="2F7F68C5" w14:textId="77777777" w:rsidR="00B428DF" w:rsidRPr="000F0625" w:rsidRDefault="00B428DF" w:rsidP="00080905">
            <w:pPr>
              <w:spacing w:line="480" w:lineRule="auto"/>
              <w:rPr>
                <w:bCs/>
                <w:lang w:val="en-GB"/>
              </w:rPr>
            </w:pPr>
            <w:r w:rsidRPr="000F0625">
              <w:rPr>
                <w:bCs/>
                <w:lang w:val="en-GB"/>
              </w:rPr>
              <w:t>Bicycle operation costs</w:t>
            </w:r>
          </w:p>
        </w:tc>
        <w:tc>
          <w:tcPr>
            <w:tcW w:w="1579" w:type="dxa"/>
          </w:tcPr>
          <w:p w14:paraId="45E30C0E" w14:textId="77777777" w:rsidR="00B428DF" w:rsidRPr="000F0625" w:rsidRDefault="00B428DF" w:rsidP="00080905">
            <w:pPr>
              <w:spacing w:line="480" w:lineRule="auto"/>
              <w:rPr>
                <w:bCs/>
                <w:lang w:val="en-GB"/>
              </w:rPr>
            </w:pPr>
            <w:r w:rsidRPr="000F0625">
              <w:rPr>
                <w:bCs/>
                <w:lang w:val="en-GB"/>
              </w:rPr>
              <w:t>0</w:t>
            </w:r>
          </w:p>
        </w:tc>
        <w:tc>
          <w:tcPr>
            <w:tcW w:w="1554" w:type="dxa"/>
          </w:tcPr>
          <w:p w14:paraId="325261A8" w14:textId="77777777" w:rsidR="00B428DF" w:rsidRPr="000F0625" w:rsidRDefault="00B428DF" w:rsidP="00080905">
            <w:pPr>
              <w:spacing w:line="480" w:lineRule="auto"/>
              <w:rPr>
                <w:bCs/>
                <w:lang w:val="en-GB"/>
              </w:rPr>
            </w:pPr>
            <w:r w:rsidRPr="000F0625">
              <w:rPr>
                <w:bCs/>
                <w:lang w:val="en-GB"/>
              </w:rPr>
              <w:t>€</w:t>
            </w:r>
            <w:r w:rsidRPr="000F0625">
              <w:rPr>
                <w:bCs/>
                <w:vertAlign w:val="subscript"/>
                <w:lang w:val="en-GB"/>
              </w:rPr>
              <w:t>2017</w:t>
            </w:r>
            <w:r w:rsidRPr="000F0625">
              <w:rPr>
                <w:bCs/>
                <w:lang w:val="en-GB"/>
              </w:rPr>
              <w:t>0.047/pkm</w:t>
            </w:r>
          </w:p>
        </w:tc>
        <w:tc>
          <w:tcPr>
            <w:tcW w:w="3510" w:type="dxa"/>
          </w:tcPr>
          <w:p w14:paraId="1D794B71" w14:textId="77777777" w:rsidR="00B428DF" w:rsidRPr="000F0625" w:rsidRDefault="00B428DF" w:rsidP="00080905">
            <w:pPr>
              <w:spacing w:line="480" w:lineRule="auto"/>
              <w:rPr>
                <w:bCs/>
                <w:lang w:val="en-GB"/>
              </w:rPr>
            </w:pPr>
            <w:r w:rsidRPr="000F0625">
              <w:rPr>
                <w:bCs/>
                <w:lang w:val="en-GB"/>
              </w:rPr>
              <w:t>Center for Transport Analytics 2017</w:t>
            </w:r>
          </w:p>
        </w:tc>
      </w:tr>
      <w:tr w:rsidR="00B428DF" w:rsidRPr="000F0625" w14:paraId="1B9274D7" w14:textId="77777777" w:rsidTr="00080905">
        <w:tc>
          <w:tcPr>
            <w:tcW w:w="2452" w:type="dxa"/>
          </w:tcPr>
          <w:p w14:paraId="014F40ED" w14:textId="77777777" w:rsidR="00B428DF" w:rsidRPr="000F0625" w:rsidRDefault="00B428DF" w:rsidP="00080905">
            <w:pPr>
              <w:spacing w:line="480" w:lineRule="auto"/>
              <w:rPr>
                <w:b/>
                <w:bCs/>
                <w:lang w:val="en-GB"/>
              </w:rPr>
            </w:pPr>
            <w:r w:rsidRPr="000F0625">
              <w:rPr>
                <w:b/>
                <w:bCs/>
                <w:lang w:val="en-GB"/>
              </w:rPr>
              <w:t>Assessment Walking</w:t>
            </w:r>
          </w:p>
        </w:tc>
        <w:tc>
          <w:tcPr>
            <w:tcW w:w="1579" w:type="dxa"/>
          </w:tcPr>
          <w:p w14:paraId="587A6B6F" w14:textId="77777777" w:rsidR="00B428DF" w:rsidRPr="000F0625" w:rsidRDefault="00B428DF" w:rsidP="00080905">
            <w:pPr>
              <w:spacing w:line="480" w:lineRule="auto"/>
              <w:rPr>
                <w:b/>
                <w:bCs/>
                <w:lang w:val="en-GB"/>
              </w:rPr>
            </w:pPr>
            <w:r>
              <w:rPr>
                <w:b/>
                <w:bCs/>
                <w:lang w:val="en-GB"/>
              </w:rPr>
              <w:t>Cost external</w:t>
            </w:r>
          </w:p>
        </w:tc>
        <w:tc>
          <w:tcPr>
            <w:tcW w:w="1554" w:type="dxa"/>
          </w:tcPr>
          <w:p w14:paraId="6B786906" w14:textId="77777777" w:rsidR="00B428DF" w:rsidRPr="000F0625" w:rsidRDefault="00B428DF" w:rsidP="00080905">
            <w:pPr>
              <w:spacing w:line="480" w:lineRule="auto"/>
              <w:rPr>
                <w:b/>
                <w:bCs/>
                <w:lang w:val="en-GB"/>
              </w:rPr>
            </w:pPr>
            <w:r w:rsidRPr="000F0625">
              <w:rPr>
                <w:b/>
                <w:bCs/>
                <w:lang w:val="en-GB"/>
              </w:rPr>
              <w:t>Cost private</w:t>
            </w:r>
          </w:p>
        </w:tc>
        <w:tc>
          <w:tcPr>
            <w:tcW w:w="3510" w:type="dxa"/>
          </w:tcPr>
          <w:p w14:paraId="0561FF79"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6BAC6C41" w14:textId="77777777" w:rsidTr="00080905">
        <w:trPr>
          <w:trHeight w:val="296"/>
        </w:trPr>
        <w:tc>
          <w:tcPr>
            <w:tcW w:w="2452" w:type="dxa"/>
          </w:tcPr>
          <w:p w14:paraId="5C991234" w14:textId="77777777" w:rsidR="00B428DF" w:rsidRPr="000F0625" w:rsidRDefault="00B428DF" w:rsidP="00080905">
            <w:pPr>
              <w:spacing w:line="480" w:lineRule="auto"/>
              <w:rPr>
                <w:bCs/>
                <w:lang w:val="en-GB"/>
              </w:rPr>
            </w:pPr>
            <w:r w:rsidRPr="000F0625">
              <w:rPr>
                <w:bCs/>
                <w:lang w:val="en-GB"/>
              </w:rPr>
              <w:t>Walking cost</w:t>
            </w:r>
          </w:p>
        </w:tc>
        <w:tc>
          <w:tcPr>
            <w:tcW w:w="1579" w:type="dxa"/>
          </w:tcPr>
          <w:p w14:paraId="775C3445" w14:textId="77777777" w:rsidR="00B428DF" w:rsidRPr="000F0625" w:rsidRDefault="00B428DF" w:rsidP="00080905">
            <w:pPr>
              <w:spacing w:line="480" w:lineRule="auto"/>
              <w:rPr>
                <w:bCs/>
                <w:lang w:val="en-GB"/>
              </w:rPr>
            </w:pPr>
            <w:r w:rsidRPr="000F0625">
              <w:rPr>
                <w:bCs/>
                <w:lang w:val="en-GB"/>
              </w:rPr>
              <w:t>0</w:t>
            </w:r>
          </w:p>
        </w:tc>
        <w:tc>
          <w:tcPr>
            <w:tcW w:w="1554" w:type="dxa"/>
          </w:tcPr>
          <w:p w14:paraId="274E440A" w14:textId="77777777" w:rsidR="00B428DF" w:rsidRPr="000F0625" w:rsidRDefault="00B428DF" w:rsidP="00080905">
            <w:pPr>
              <w:spacing w:line="480" w:lineRule="auto"/>
              <w:rPr>
                <w:bCs/>
                <w:lang w:val="en-GB"/>
              </w:rPr>
            </w:pPr>
            <w:r w:rsidRPr="000F0625">
              <w:rPr>
                <w:bCs/>
                <w:lang w:val="en-GB"/>
              </w:rPr>
              <w:t>€</w:t>
            </w:r>
            <w:r w:rsidRPr="000F0625">
              <w:rPr>
                <w:bCs/>
                <w:vertAlign w:val="subscript"/>
                <w:lang w:val="en-GB"/>
              </w:rPr>
              <w:t>2017</w:t>
            </w:r>
            <w:r w:rsidRPr="000F0625">
              <w:rPr>
                <w:bCs/>
                <w:lang w:val="en-GB"/>
              </w:rPr>
              <w:t>0.04</w:t>
            </w:r>
            <w:r>
              <w:rPr>
                <w:bCs/>
                <w:lang w:val="en-GB"/>
              </w:rPr>
              <w:t>1</w:t>
            </w:r>
            <w:r w:rsidRPr="000F0625">
              <w:rPr>
                <w:bCs/>
                <w:lang w:val="en-GB"/>
              </w:rPr>
              <w:t>/pkm</w:t>
            </w:r>
          </w:p>
        </w:tc>
        <w:tc>
          <w:tcPr>
            <w:tcW w:w="3510" w:type="dxa"/>
          </w:tcPr>
          <w:p w14:paraId="0094E89C" w14:textId="77777777" w:rsidR="00B428DF" w:rsidRPr="000F0625" w:rsidRDefault="00B428DF" w:rsidP="00080905">
            <w:pPr>
              <w:spacing w:line="480" w:lineRule="auto"/>
              <w:rPr>
                <w:bCs/>
                <w:lang w:val="en-GB"/>
              </w:rPr>
            </w:pPr>
            <w:r>
              <w:t>Litman and Doherty, 2011</w:t>
            </w:r>
          </w:p>
        </w:tc>
      </w:tr>
    </w:tbl>
    <w:p w14:paraId="50C1F3AC" w14:textId="77777777" w:rsidR="00B428DF" w:rsidRPr="000F0625" w:rsidRDefault="00B428DF" w:rsidP="00B428DF">
      <w:pPr>
        <w:spacing w:line="480" w:lineRule="auto"/>
        <w:rPr>
          <w:bCs/>
        </w:rPr>
      </w:pPr>
    </w:p>
    <w:p w14:paraId="3BADEED1" w14:textId="77777777" w:rsidR="00B428DF" w:rsidRPr="000F0625" w:rsidRDefault="00B428DF" w:rsidP="00B428DF">
      <w:pPr>
        <w:spacing w:line="480" w:lineRule="auto"/>
        <w:rPr>
          <w:bCs/>
        </w:rPr>
      </w:pPr>
    </w:p>
    <w:p w14:paraId="1AAF9FE5"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Travel time</w:t>
      </w:r>
    </w:p>
    <w:p w14:paraId="5E95D11B" w14:textId="77777777" w:rsidR="00B428DF" w:rsidRPr="000F0625" w:rsidRDefault="00B428DF" w:rsidP="00B428DF">
      <w:pPr>
        <w:spacing w:line="480" w:lineRule="auto"/>
        <w:jc w:val="both"/>
        <w:rPr>
          <w:bCs/>
        </w:rPr>
      </w:pPr>
      <w:r w:rsidRPr="000F0625">
        <w:rPr>
          <w:bCs/>
        </w:rPr>
        <w:t xml:space="preserve">There are considerable differences in </w:t>
      </w:r>
      <w:r>
        <w:rPr>
          <w:bCs/>
        </w:rPr>
        <w:t xml:space="preserve">travel cost derived from </w:t>
      </w:r>
      <w:r w:rsidRPr="000F0625">
        <w:rPr>
          <w:bCs/>
        </w:rPr>
        <w:t>value of time studies</w:t>
      </w:r>
      <w:r>
        <w:rPr>
          <w:bCs/>
        </w:rPr>
        <w:t>, and these are generally not comparable (Hensher 2009; Shires and de Jong 2009)</w:t>
      </w:r>
      <w:r w:rsidRPr="000F0625">
        <w:rPr>
          <w:bCs/>
        </w:rPr>
        <w:t>. In Denmark,</w:t>
      </w:r>
      <w:r>
        <w:rPr>
          <w:bCs/>
        </w:rPr>
        <w:t xml:space="preserve"> where considerable efforts have been made to determine the travel time cost associated with different transport modes,</w:t>
      </w:r>
      <w:r w:rsidRPr="000F0625">
        <w:rPr>
          <w:bCs/>
        </w:rPr>
        <w:t xml:space="preserve"> the </w:t>
      </w:r>
      <w:r>
        <w:rPr>
          <w:bCs/>
        </w:rPr>
        <w:t>marginal value of travel time of</w:t>
      </w:r>
      <w:r w:rsidRPr="000F0625">
        <w:rPr>
          <w:bCs/>
        </w:rPr>
        <w:t xml:space="preserve"> car drivers is €21.38/hour for </w:t>
      </w:r>
      <w:r>
        <w:rPr>
          <w:bCs/>
        </w:rPr>
        <w:t>driving</w:t>
      </w:r>
      <w:r w:rsidRPr="000F0625">
        <w:rPr>
          <w:bCs/>
        </w:rPr>
        <w:t xml:space="preserve"> time and €32.14/hour for delays; while the time of cyclists is valued at €12.37/hour for cycling and €18.69/hour for delays (Center for Transport Analytics 2017). At average speeds of 50 km/h for cars, and 16 km/h for bicycles, the Center for Transport Analytics (ibid.) proposes a time travel cost of €</w:t>
      </w:r>
      <w:r w:rsidRPr="000F0625">
        <w:rPr>
          <w:bCs/>
          <w:vertAlign w:val="subscript"/>
        </w:rPr>
        <w:t>2017</w:t>
      </w:r>
      <w:r w:rsidRPr="000F0625">
        <w:rPr>
          <w:bCs/>
        </w:rPr>
        <w:t>0.422/pkm and for drivers, and of €</w:t>
      </w:r>
      <w:r w:rsidRPr="000F0625">
        <w:rPr>
          <w:bCs/>
          <w:vertAlign w:val="subscript"/>
        </w:rPr>
        <w:t>2017</w:t>
      </w:r>
      <w:r w:rsidRPr="000F0625">
        <w:rPr>
          <w:bCs/>
        </w:rPr>
        <w:t>0.790/pkm for cyclists. Assuming identical time values for cycling and walking, the cost of walking is €</w:t>
      </w:r>
      <w:r w:rsidRPr="000F0625">
        <w:rPr>
          <w:bCs/>
          <w:vertAlign w:val="subscript"/>
        </w:rPr>
        <w:t>2017</w:t>
      </w:r>
      <w:r w:rsidRPr="000F0625">
        <w:rPr>
          <w:bCs/>
        </w:rPr>
        <w:t xml:space="preserve">2.107/pkm, at a speed of 6km/h (Center for Transport Analytics 2017, Realise 2018). </w:t>
      </w:r>
      <w:r>
        <w:rPr>
          <w:bCs/>
        </w:rPr>
        <w:t xml:space="preserve">Note that a wide range of higher and lower travel time values have been reported for the EU (Shires and de Jong 2009). Calculations in this paper are based on the progressive work of the Danish Center for Transport Analytics (2017), and </w:t>
      </w:r>
      <w:r w:rsidRPr="000F0625">
        <w:rPr>
          <w:bCs/>
        </w:rPr>
        <w:t>adjusted to EU values by using ratios of respective nominal GDPs per capita. This results in averaged travel time values of €</w:t>
      </w:r>
      <w:r w:rsidRPr="000F0625">
        <w:rPr>
          <w:bCs/>
          <w:vertAlign w:val="subscript"/>
        </w:rPr>
        <w:t>2017</w:t>
      </w:r>
      <w:r w:rsidRPr="000F0625">
        <w:rPr>
          <w:bCs/>
        </w:rPr>
        <w:t>0.253/pkm (cars), €</w:t>
      </w:r>
      <w:r w:rsidRPr="000F0625">
        <w:rPr>
          <w:bCs/>
          <w:vertAlign w:val="subscript"/>
        </w:rPr>
        <w:t>2017</w:t>
      </w:r>
      <w:r w:rsidRPr="000F0625">
        <w:rPr>
          <w:bCs/>
        </w:rPr>
        <w:t>0.474/pkm (bicycles) and €</w:t>
      </w:r>
      <w:r w:rsidRPr="000F0625">
        <w:rPr>
          <w:bCs/>
          <w:vertAlign w:val="subscript"/>
        </w:rPr>
        <w:t>2017</w:t>
      </w:r>
      <w:r w:rsidRPr="000F0625">
        <w:rPr>
          <w:bCs/>
        </w:rPr>
        <w:t>1.264/pkm (walking)</w:t>
      </w:r>
      <w:r>
        <w:rPr>
          <w:bCs/>
        </w:rPr>
        <w:t xml:space="preserve"> (Table 10)</w:t>
      </w:r>
      <w:r w:rsidRPr="000F0625">
        <w:rPr>
          <w:bCs/>
        </w:rPr>
        <w:t>.</w:t>
      </w:r>
    </w:p>
    <w:p w14:paraId="3483EC80" w14:textId="77777777" w:rsidR="00B428DF" w:rsidRPr="000F0625" w:rsidRDefault="00B428DF" w:rsidP="00B428DF">
      <w:pPr>
        <w:spacing w:line="480" w:lineRule="auto"/>
        <w:rPr>
          <w:b/>
          <w:bCs/>
        </w:rPr>
      </w:pPr>
    </w:p>
    <w:p w14:paraId="4414AF5C" w14:textId="77777777" w:rsidR="00B428DF" w:rsidRPr="000F0625" w:rsidRDefault="00B428DF" w:rsidP="00B428DF">
      <w:pPr>
        <w:spacing w:line="480" w:lineRule="auto"/>
        <w:rPr>
          <w:b/>
          <w:bCs/>
        </w:rPr>
      </w:pPr>
      <w:r w:rsidRPr="000F0625">
        <w:rPr>
          <w:b/>
          <w:bCs/>
        </w:rPr>
        <w:t>Table 1</w:t>
      </w:r>
      <w:r>
        <w:rPr>
          <w:b/>
          <w:bCs/>
        </w:rPr>
        <w:t>0</w:t>
      </w:r>
      <w:r w:rsidRPr="000F0625">
        <w:rPr>
          <w:b/>
          <w:bCs/>
        </w:rPr>
        <w:t xml:space="preserve">: </w:t>
      </w:r>
      <w:r>
        <w:rPr>
          <w:b/>
          <w:bCs/>
        </w:rPr>
        <w:t>Travel time</w:t>
      </w:r>
    </w:p>
    <w:tbl>
      <w:tblPr>
        <w:tblStyle w:val="Tabelraster"/>
        <w:tblW w:w="9184" w:type="dxa"/>
        <w:tblInd w:w="108" w:type="dxa"/>
        <w:tblLook w:val="04A0" w:firstRow="1" w:lastRow="0" w:firstColumn="1" w:lastColumn="0" w:noHBand="0" w:noVBand="1"/>
      </w:tblPr>
      <w:tblGrid>
        <w:gridCol w:w="2511"/>
        <w:gridCol w:w="1569"/>
        <w:gridCol w:w="1720"/>
        <w:gridCol w:w="3384"/>
      </w:tblGrid>
      <w:tr w:rsidR="00B428DF" w:rsidRPr="000F0625" w14:paraId="7F0E6FBE" w14:textId="77777777" w:rsidTr="00080905">
        <w:tc>
          <w:tcPr>
            <w:tcW w:w="2511" w:type="dxa"/>
          </w:tcPr>
          <w:p w14:paraId="6898337D" w14:textId="77777777" w:rsidR="00B428DF" w:rsidRPr="000F0625" w:rsidRDefault="00B428DF" w:rsidP="00080905">
            <w:pPr>
              <w:spacing w:line="480" w:lineRule="auto"/>
              <w:rPr>
                <w:b/>
                <w:bCs/>
                <w:lang w:val="en-GB"/>
              </w:rPr>
            </w:pPr>
            <w:r w:rsidRPr="000F0625">
              <w:rPr>
                <w:b/>
                <w:bCs/>
                <w:lang w:val="en-GB"/>
              </w:rPr>
              <w:lastRenderedPageBreak/>
              <w:t>Assessment Cars</w:t>
            </w:r>
          </w:p>
        </w:tc>
        <w:tc>
          <w:tcPr>
            <w:tcW w:w="1569" w:type="dxa"/>
          </w:tcPr>
          <w:p w14:paraId="31FC1ECC" w14:textId="77777777" w:rsidR="00B428DF" w:rsidRPr="000F0625" w:rsidRDefault="00B428DF" w:rsidP="00080905">
            <w:pPr>
              <w:spacing w:line="480" w:lineRule="auto"/>
              <w:rPr>
                <w:b/>
                <w:bCs/>
                <w:lang w:val="en-GB"/>
              </w:rPr>
            </w:pPr>
            <w:r>
              <w:rPr>
                <w:b/>
                <w:bCs/>
                <w:lang w:val="en-GB"/>
              </w:rPr>
              <w:t>Cost external</w:t>
            </w:r>
          </w:p>
        </w:tc>
        <w:tc>
          <w:tcPr>
            <w:tcW w:w="1720" w:type="dxa"/>
          </w:tcPr>
          <w:p w14:paraId="30365087" w14:textId="77777777" w:rsidR="00B428DF" w:rsidRPr="000F0625" w:rsidRDefault="00B428DF" w:rsidP="00080905">
            <w:pPr>
              <w:spacing w:line="480" w:lineRule="auto"/>
              <w:rPr>
                <w:b/>
                <w:bCs/>
                <w:lang w:val="en-GB"/>
              </w:rPr>
            </w:pPr>
            <w:r w:rsidRPr="000F0625">
              <w:rPr>
                <w:b/>
                <w:bCs/>
                <w:lang w:val="en-GB"/>
              </w:rPr>
              <w:t>Cost private</w:t>
            </w:r>
          </w:p>
        </w:tc>
        <w:tc>
          <w:tcPr>
            <w:tcW w:w="3384" w:type="dxa"/>
          </w:tcPr>
          <w:p w14:paraId="2EBC0B68"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67515E00" w14:textId="77777777" w:rsidTr="00080905">
        <w:trPr>
          <w:trHeight w:val="296"/>
        </w:trPr>
        <w:tc>
          <w:tcPr>
            <w:tcW w:w="2511" w:type="dxa"/>
          </w:tcPr>
          <w:p w14:paraId="67E1B97E" w14:textId="77777777" w:rsidR="00B428DF" w:rsidRPr="000F0625" w:rsidRDefault="00B428DF" w:rsidP="00080905">
            <w:pPr>
              <w:spacing w:line="480" w:lineRule="auto"/>
              <w:rPr>
                <w:bCs/>
                <w:lang w:val="en-GB"/>
              </w:rPr>
            </w:pPr>
            <w:r w:rsidRPr="000F0625">
              <w:rPr>
                <w:bCs/>
                <w:lang w:val="en-GB"/>
              </w:rPr>
              <w:t>Travel time value</w:t>
            </w:r>
          </w:p>
        </w:tc>
        <w:tc>
          <w:tcPr>
            <w:tcW w:w="1569" w:type="dxa"/>
          </w:tcPr>
          <w:p w14:paraId="5995FF26" w14:textId="77777777" w:rsidR="00B428DF" w:rsidRPr="000F0625" w:rsidRDefault="00B428DF" w:rsidP="00080905">
            <w:pPr>
              <w:spacing w:line="480" w:lineRule="auto"/>
              <w:rPr>
                <w:bCs/>
                <w:lang w:val="en-GB"/>
              </w:rPr>
            </w:pPr>
            <w:r w:rsidRPr="000F0625">
              <w:rPr>
                <w:bCs/>
                <w:lang w:val="en-GB"/>
              </w:rPr>
              <w:t>0</w:t>
            </w:r>
          </w:p>
        </w:tc>
        <w:tc>
          <w:tcPr>
            <w:tcW w:w="1720" w:type="dxa"/>
          </w:tcPr>
          <w:p w14:paraId="6A6A2F9E" w14:textId="77777777" w:rsidR="00B428DF" w:rsidRPr="000F0625" w:rsidRDefault="00B428DF" w:rsidP="00080905">
            <w:pPr>
              <w:spacing w:line="480" w:lineRule="auto"/>
              <w:rPr>
                <w:bCs/>
                <w:lang w:val="en-GB"/>
              </w:rPr>
            </w:pPr>
            <w:r w:rsidRPr="000F0625">
              <w:rPr>
                <w:bCs/>
                <w:lang w:val="en-GB"/>
              </w:rPr>
              <w:t>€</w:t>
            </w:r>
            <w:r w:rsidRPr="000F0625">
              <w:rPr>
                <w:bCs/>
                <w:vertAlign w:val="subscript"/>
                <w:lang w:val="en-GB"/>
              </w:rPr>
              <w:t>2017</w:t>
            </w:r>
            <w:r w:rsidRPr="000F0625">
              <w:rPr>
                <w:bCs/>
                <w:lang w:val="en-GB"/>
              </w:rPr>
              <w:t>0.253/pkm</w:t>
            </w:r>
          </w:p>
        </w:tc>
        <w:tc>
          <w:tcPr>
            <w:tcW w:w="3384" w:type="dxa"/>
          </w:tcPr>
          <w:p w14:paraId="06B19FF0" w14:textId="77777777" w:rsidR="00B428DF" w:rsidRPr="000F0625" w:rsidRDefault="00B428DF" w:rsidP="00080905">
            <w:pPr>
              <w:spacing w:line="480" w:lineRule="auto"/>
              <w:rPr>
                <w:bCs/>
                <w:lang w:val="en-GB"/>
              </w:rPr>
            </w:pPr>
            <w:r>
              <w:t>Litman and Doherty, 2011</w:t>
            </w:r>
          </w:p>
        </w:tc>
      </w:tr>
      <w:tr w:rsidR="00B428DF" w:rsidRPr="000F0625" w14:paraId="6856B3F0" w14:textId="77777777" w:rsidTr="00080905">
        <w:tc>
          <w:tcPr>
            <w:tcW w:w="2511" w:type="dxa"/>
          </w:tcPr>
          <w:p w14:paraId="37901F76" w14:textId="77777777" w:rsidR="00B428DF" w:rsidRPr="000F0625" w:rsidRDefault="00B428DF" w:rsidP="00080905">
            <w:pPr>
              <w:spacing w:line="480" w:lineRule="auto"/>
              <w:rPr>
                <w:b/>
                <w:bCs/>
                <w:lang w:val="en-GB"/>
              </w:rPr>
            </w:pPr>
            <w:r w:rsidRPr="000F0625">
              <w:rPr>
                <w:b/>
                <w:bCs/>
                <w:lang w:val="en-GB"/>
              </w:rPr>
              <w:t>Assessment Bicycles</w:t>
            </w:r>
          </w:p>
        </w:tc>
        <w:tc>
          <w:tcPr>
            <w:tcW w:w="1569" w:type="dxa"/>
          </w:tcPr>
          <w:p w14:paraId="2F13B634" w14:textId="77777777" w:rsidR="00B428DF" w:rsidRPr="000F0625" w:rsidRDefault="00B428DF" w:rsidP="00080905">
            <w:pPr>
              <w:spacing w:line="480" w:lineRule="auto"/>
              <w:rPr>
                <w:b/>
                <w:bCs/>
                <w:lang w:val="en-GB"/>
              </w:rPr>
            </w:pPr>
            <w:r>
              <w:rPr>
                <w:b/>
                <w:bCs/>
                <w:lang w:val="en-GB"/>
              </w:rPr>
              <w:t>Cost external</w:t>
            </w:r>
          </w:p>
        </w:tc>
        <w:tc>
          <w:tcPr>
            <w:tcW w:w="1720" w:type="dxa"/>
          </w:tcPr>
          <w:p w14:paraId="2241B58B" w14:textId="77777777" w:rsidR="00B428DF" w:rsidRPr="000F0625" w:rsidRDefault="00B428DF" w:rsidP="00080905">
            <w:pPr>
              <w:spacing w:line="480" w:lineRule="auto"/>
              <w:rPr>
                <w:b/>
                <w:bCs/>
                <w:lang w:val="en-GB"/>
              </w:rPr>
            </w:pPr>
            <w:r w:rsidRPr="000F0625">
              <w:rPr>
                <w:b/>
                <w:bCs/>
                <w:lang w:val="en-GB"/>
              </w:rPr>
              <w:t>Cost private</w:t>
            </w:r>
          </w:p>
        </w:tc>
        <w:tc>
          <w:tcPr>
            <w:tcW w:w="3384" w:type="dxa"/>
          </w:tcPr>
          <w:p w14:paraId="4DDE685E"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2A25F95B" w14:textId="77777777" w:rsidTr="00080905">
        <w:trPr>
          <w:trHeight w:val="296"/>
        </w:trPr>
        <w:tc>
          <w:tcPr>
            <w:tcW w:w="2511" w:type="dxa"/>
          </w:tcPr>
          <w:p w14:paraId="6141FD90" w14:textId="77777777" w:rsidR="00B428DF" w:rsidRPr="000F0625" w:rsidRDefault="00B428DF" w:rsidP="00080905">
            <w:pPr>
              <w:spacing w:line="480" w:lineRule="auto"/>
              <w:rPr>
                <w:bCs/>
                <w:lang w:val="en-GB"/>
              </w:rPr>
            </w:pPr>
            <w:r w:rsidRPr="000F0625">
              <w:rPr>
                <w:bCs/>
                <w:lang w:val="en-GB"/>
              </w:rPr>
              <w:t>Travel time value</w:t>
            </w:r>
          </w:p>
        </w:tc>
        <w:tc>
          <w:tcPr>
            <w:tcW w:w="1569" w:type="dxa"/>
          </w:tcPr>
          <w:p w14:paraId="3BA9756C" w14:textId="77777777" w:rsidR="00B428DF" w:rsidRPr="000F0625" w:rsidRDefault="00B428DF" w:rsidP="00080905">
            <w:pPr>
              <w:spacing w:line="480" w:lineRule="auto"/>
              <w:rPr>
                <w:bCs/>
                <w:lang w:val="en-GB"/>
              </w:rPr>
            </w:pPr>
            <w:r w:rsidRPr="000F0625">
              <w:rPr>
                <w:bCs/>
                <w:lang w:val="en-GB"/>
              </w:rPr>
              <w:t>0</w:t>
            </w:r>
          </w:p>
        </w:tc>
        <w:tc>
          <w:tcPr>
            <w:tcW w:w="1720" w:type="dxa"/>
          </w:tcPr>
          <w:p w14:paraId="6F0A9097" w14:textId="77777777" w:rsidR="00B428DF" w:rsidRPr="000F0625" w:rsidRDefault="00B428DF" w:rsidP="00080905">
            <w:pPr>
              <w:spacing w:line="480" w:lineRule="auto"/>
              <w:rPr>
                <w:bCs/>
                <w:lang w:val="en-GB"/>
              </w:rPr>
            </w:pPr>
            <w:r w:rsidRPr="000F0625">
              <w:rPr>
                <w:bCs/>
                <w:lang w:val="en-GB"/>
              </w:rPr>
              <w:t>€</w:t>
            </w:r>
            <w:r w:rsidRPr="000F0625">
              <w:rPr>
                <w:bCs/>
                <w:vertAlign w:val="subscript"/>
                <w:lang w:val="en-GB"/>
              </w:rPr>
              <w:t>2017</w:t>
            </w:r>
            <w:r w:rsidRPr="000F0625">
              <w:rPr>
                <w:bCs/>
                <w:lang w:val="en-GB"/>
              </w:rPr>
              <w:t>0.474/pkm</w:t>
            </w:r>
          </w:p>
        </w:tc>
        <w:tc>
          <w:tcPr>
            <w:tcW w:w="3384" w:type="dxa"/>
          </w:tcPr>
          <w:p w14:paraId="0359E154" w14:textId="77777777" w:rsidR="00B428DF" w:rsidRPr="000F0625" w:rsidRDefault="00B428DF" w:rsidP="00080905">
            <w:pPr>
              <w:spacing w:line="480" w:lineRule="auto"/>
              <w:rPr>
                <w:bCs/>
                <w:lang w:val="en-GB"/>
              </w:rPr>
            </w:pPr>
            <w:r>
              <w:t>Litman and Doherty, 2011</w:t>
            </w:r>
          </w:p>
        </w:tc>
      </w:tr>
      <w:tr w:rsidR="00B428DF" w:rsidRPr="000F0625" w14:paraId="15A3652F" w14:textId="77777777" w:rsidTr="00080905">
        <w:tc>
          <w:tcPr>
            <w:tcW w:w="2511" w:type="dxa"/>
          </w:tcPr>
          <w:p w14:paraId="0DDBE77C" w14:textId="77777777" w:rsidR="00B428DF" w:rsidRPr="000F0625" w:rsidRDefault="00B428DF" w:rsidP="00080905">
            <w:pPr>
              <w:spacing w:line="480" w:lineRule="auto"/>
              <w:rPr>
                <w:b/>
                <w:bCs/>
                <w:lang w:val="en-GB"/>
              </w:rPr>
            </w:pPr>
            <w:r w:rsidRPr="000F0625">
              <w:rPr>
                <w:b/>
                <w:bCs/>
                <w:lang w:val="en-GB"/>
              </w:rPr>
              <w:t xml:space="preserve">Assessment </w:t>
            </w:r>
            <w:r>
              <w:rPr>
                <w:b/>
                <w:bCs/>
                <w:lang w:val="en-GB"/>
              </w:rPr>
              <w:t>Walking</w:t>
            </w:r>
          </w:p>
        </w:tc>
        <w:tc>
          <w:tcPr>
            <w:tcW w:w="1569" w:type="dxa"/>
          </w:tcPr>
          <w:p w14:paraId="484C4834" w14:textId="77777777" w:rsidR="00B428DF" w:rsidRPr="000F0625" w:rsidRDefault="00B428DF" w:rsidP="00080905">
            <w:pPr>
              <w:spacing w:line="480" w:lineRule="auto"/>
              <w:rPr>
                <w:b/>
                <w:bCs/>
                <w:lang w:val="en-GB"/>
              </w:rPr>
            </w:pPr>
            <w:r>
              <w:rPr>
                <w:b/>
                <w:bCs/>
                <w:lang w:val="en-GB"/>
              </w:rPr>
              <w:t>Cost external</w:t>
            </w:r>
          </w:p>
        </w:tc>
        <w:tc>
          <w:tcPr>
            <w:tcW w:w="1720" w:type="dxa"/>
          </w:tcPr>
          <w:p w14:paraId="317AC9A9" w14:textId="77777777" w:rsidR="00B428DF" w:rsidRPr="000F0625" w:rsidRDefault="00B428DF" w:rsidP="00080905">
            <w:pPr>
              <w:spacing w:line="480" w:lineRule="auto"/>
              <w:rPr>
                <w:b/>
                <w:bCs/>
                <w:lang w:val="en-GB"/>
              </w:rPr>
            </w:pPr>
            <w:r w:rsidRPr="000F0625">
              <w:rPr>
                <w:b/>
                <w:bCs/>
                <w:lang w:val="en-GB"/>
              </w:rPr>
              <w:t>Cost private</w:t>
            </w:r>
          </w:p>
        </w:tc>
        <w:tc>
          <w:tcPr>
            <w:tcW w:w="3384" w:type="dxa"/>
          </w:tcPr>
          <w:p w14:paraId="4E9718E8"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192DFBE7" w14:textId="77777777" w:rsidTr="00080905">
        <w:trPr>
          <w:trHeight w:val="296"/>
        </w:trPr>
        <w:tc>
          <w:tcPr>
            <w:tcW w:w="2511" w:type="dxa"/>
          </w:tcPr>
          <w:p w14:paraId="386D7AF1" w14:textId="77777777" w:rsidR="00B428DF" w:rsidRPr="000F0625" w:rsidRDefault="00B428DF" w:rsidP="00080905">
            <w:pPr>
              <w:spacing w:line="480" w:lineRule="auto"/>
              <w:rPr>
                <w:bCs/>
                <w:lang w:val="en-GB"/>
              </w:rPr>
            </w:pPr>
            <w:r w:rsidRPr="000F0625">
              <w:rPr>
                <w:bCs/>
                <w:lang w:val="en-GB"/>
              </w:rPr>
              <w:t>Travel time value</w:t>
            </w:r>
          </w:p>
        </w:tc>
        <w:tc>
          <w:tcPr>
            <w:tcW w:w="1569" w:type="dxa"/>
          </w:tcPr>
          <w:p w14:paraId="5B12323C" w14:textId="77777777" w:rsidR="00B428DF" w:rsidRPr="000F0625" w:rsidRDefault="00B428DF" w:rsidP="00080905">
            <w:pPr>
              <w:spacing w:line="480" w:lineRule="auto"/>
              <w:rPr>
                <w:bCs/>
                <w:lang w:val="en-GB"/>
              </w:rPr>
            </w:pPr>
            <w:r w:rsidRPr="000F0625">
              <w:rPr>
                <w:bCs/>
                <w:lang w:val="en-GB"/>
              </w:rPr>
              <w:t>0</w:t>
            </w:r>
          </w:p>
        </w:tc>
        <w:tc>
          <w:tcPr>
            <w:tcW w:w="1720" w:type="dxa"/>
          </w:tcPr>
          <w:p w14:paraId="641E1AF6" w14:textId="77777777" w:rsidR="00B428DF" w:rsidRPr="000F0625" w:rsidRDefault="00B428DF" w:rsidP="00080905">
            <w:pPr>
              <w:spacing w:line="480" w:lineRule="auto"/>
              <w:rPr>
                <w:bCs/>
                <w:lang w:val="en-GB"/>
              </w:rPr>
            </w:pPr>
            <w:r w:rsidRPr="000F0625">
              <w:rPr>
                <w:bCs/>
                <w:lang w:val="en-GB"/>
              </w:rPr>
              <w:t>€</w:t>
            </w:r>
            <w:r w:rsidRPr="000F0625">
              <w:rPr>
                <w:bCs/>
                <w:vertAlign w:val="subscript"/>
                <w:lang w:val="en-GB"/>
              </w:rPr>
              <w:t>2017</w:t>
            </w:r>
            <w:r w:rsidRPr="000F0625">
              <w:rPr>
                <w:bCs/>
                <w:lang w:val="en-GB"/>
              </w:rPr>
              <w:t>1.264/pkm</w:t>
            </w:r>
          </w:p>
        </w:tc>
        <w:tc>
          <w:tcPr>
            <w:tcW w:w="3384" w:type="dxa"/>
          </w:tcPr>
          <w:p w14:paraId="71FD302C" w14:textId="77777777" w:rsidR="00B428DF" w:rsidRPr="000F0625" w:rsidRDefault="00B428DF" w:rsidP="00080905">
            <w:pPr>
              <w:spacing w:line="480" w:lineRule="auto"/>
              <w:rPr>
                <w:bCs/>
                <w:lang w:val="en-GB"/>
              </w:rPr>
            </w:pPr>
            <w:r w:rsidRPr="000F0625">
              <w:rPr>
                <w:bCs/>
                <w:lang w:val="en-GB"/>
              </w:rPr>
              <w:t>Center for Transport Analytics 2017, Realise 2018</w:t>
            </w:r>
          </w:p>
        </w:tc>
      </w:tr>
    </w:tbl>
    <w:p w14:paraId="14258066" w14:textId="77777777" w:rsidR="00B428DF" w:rsidRPr="000F0625" w:rsidRDefault="00B428DF" w:rsidP="00B428DF">
      <w:pPr>
        <w:spacing w:line="480" w:lineRule="auto"/>
        <w:rPr>
          <w:b/>
          <w:bCs/>
        </w:rPr>
      </w:pPr>
      <w:r w:rsidRPr="000F0625">
        <w:rPr>
          <w:b/>
          <w:bCs/>
        </w:rPr>
        <w:t xml:space="preserve"> </w:t>
      </w:r>
    </w:p>
    <w:p w14:paraId="7DBB745C" w14:textId="77777777" w:rsidR="00B428DF" w:rsidRPr="000F0625" w:rsidRDefault="00B428DF" w:rsidP="00B428DF">
      <w:pPr>
        <w:spacing w:line="480" w:lineRule="auto"/>
        <w:rPr>
          <w:b/>
          <w:bCs/>
        </w:rPr>
      </w:pPr>
    </w:p>
    <w:p w14:paraId="1B6BED2D"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Congestion</w:t>
      </w:r>
    </w:p>
    <w:p w14:paraId="1676A5A7" w14:textId="77777777" w:rsidR="00B428DF" w:rsidRPr="000F0625" w:rsidRDefault="00B428DF" w:rsidP="00B428DF">
      <w:pPr>
        <w:spacing w:line="480" w:lineRule="auto"/>
        <w:jc w:val="both"/>
        <w:rPr>
          <w:bCs/>
        </w:rPr>
      </w:pPr>
      <w:r w:rsidRPr="000F0625">
        <w:rPr>
          <w:bCs/>
        </w:rPr>
        <w:t xml:space="preserve">Korzhenevych et al. (2014) distinguish working and non-working time values, suggesting </w:t>
      </w:r>
      <w:r>
        <w:rPr>
          <w:bCs/>
        </w:rPr>
        <w:t xml:space="preserve">a </w:t>
      </w:r>
      <w:r w:rsidRPr="000F0625">
        <w:rPr>
          <w:bCs/>
        </w:rPr>
        <w:t xml:space="preserve">marginal congestion cost under conditions of overcapacity </w:t>
      </w:r>
      <w:r>
        <w:rPr>
          <w:bCs/>
        </w:rPr>
        <w:t xml:space="preserve">that is </w:t>
      </w:r>
      <w:r w:rsidRPr="000F0625">
        <w:rPr>
          <w:bCs/>
        </w:rPr>
        <w:t>between €</w:t>
      </w:r>
      <w:r w:rsidRPr="000F0625">
        <w:rPr>
          <w:bCs/>
          <w:vertAlign w:val="subscript"/>
        </w:rPr>
        <w:t>2017</w:t>
      </w:r>
      <w:r>
        <w:rPr>
          <w:bCs/>
        </w:rPr>
        <w:t>0.225/pkm</w:t>
      </w:r>
      <w:r w:rsidRPr="000F0625">
        <w:rPr>
          <w:bCs/>
        </w:rPr>
        <w:t xml:space="preserve"> in rural and up to €</w:t>
      </w:r>
      <w:r w:rsidRPr="000F0625">
        <w:rPr>
          <w:bCs/>
          <w:vertAlign w:val="subscript"/>
        </w:rPr>
        <w:t>2017</w:t>
      </w:r>
      <w:r>
        <w:rPr>
          <w:bCs/>
        </w:rPr>
        <w:t>1.769/pkm</w:t>
      </w:r>
      <w:r w:rsidRPr="000F0625">
        <w:rPr>
          <w:bCs/>
        </w:rPr>
        <w:t xml:space="preserve"> in cities with &gt;250,000 people. Even in near-capacity conditions, the lowest cost of congestion is €</w:t>
      </w:r>
      <w:r w:rsidRPr="000F0625">
        <w:rPr>
          <w:bCs/>
          <w:vertAlign w:val="subscript"/>
        </w:rPr>
        <w:t>2017</w:t>
      </w:r>
      <w:r>
        <w:rPr>
          <w:bCs/>
        </w:rPr>
        <w:t>0.098/pkm</w:t>
      </w:r>
      <w:r w:rsidRPr="000F0625">
        <w:rPr>
          <w:bCs/>
        </w:rPr>
        <w:t xml:space="preserve"> on motorways in rural areas. The Victoria Transport Policy Institute (</w:t>
      </w:r>
      <w:r>
        <w:t>Litman &amp; Doherty, 2011</w:t>
      </w:r>
      <w:r w:rsidRPr="000F0625">
        <w:rPr>
          <w:bCs/>
        </w:rPr>
        <w:t xml:space="preserve">) distinguishes congestion from barrier effects, which are defined as delays and lack of access that motor vehicle traffic imposes on non-motorized travel (i.e. pedestrians and cyclists). Car congestion cost </w:t>
      </w:r>
      <w:r>
        <w:rPr>
          <w:bCs/>
        </w:rPr>
        <w:t>is</w:t>
      </w:r>
      <w:r w:rsidRPr="000F0625">
        <w:rPr>
          <w:bCs/>
        </w:rPr>
        <w:t xml:space="preserve"> valued at €</w:t>
      </w:r>
      <w:r w:rsidRPr="000F0625">
        <w:rPr>
          <w:bCs/>
          <w:vertAlign w:val="subscript"/>
        </w:rPr>
        <w:t>2017</w:t>
      </w:r>
      <w:r w:rsidRPr="000F0625">
        <w:rPr>
          <w:bCs/>
        </w:rPr>
        <w:t>0.015/pkm, and barrier effects at €</w:t>
      </w:r>
      <w:r w:rsidRPr="000F0625">
        <w:rPr>
          <w:bCs/>
          <w:vertAlign w:val="subscript"/>
        </w:rPr>
        <w:t>2017</w:t>
      </w:r>
      <w:r w:rsidRPr="000F0625">
        <w:rPr>
          <w:bCs/>
        </w:rPr>
        <w:t>0.006/pkm</w:t>
      </w:r>
      <w:r>
        <w:rPr>
          <w:bCs/>
        </w:rPr>
        <w:t xml:space="preserve"> (Table 11)</w:t>
      </w:r>
      <w:r w:rsidRPr="000F0625">
        <w:rPr>
          <w:bCs/>
        </w:rPr>
        <w:t>. Here, the lowest cost for the European Union in urban contexts, at near capacity, is used (€</w:t>
      </w:r>
      <w:r w:rsidRPr="000F0625">
        <w:rPr>
          <w:bCs/>
          <w:vertAlign w:val="subscript"/>
        </w:rPr>
        <w:t>2017</w:t>
      </w:r>
      <w:r w:rsidRPr="000F0625">
        <w:rPr>
          <w:bCs/>
        </w:rPr>
        <w:t xml:space="preserve">0.355/pkm), </w:t>
      </w:r>
      <w:r>
        <w:rPr>
          <w:bCs/>
        </w:rPr>
        <w:t>based on</w:t>
      </w:r>
      <w:r w:rsidRPr="000F0625">
        <w:rPr>
          <w:bCs/>
        </w:rPr>
        <w:t xml:space="preserve"> Korzhenevych et al. (2014). Congestion effects on bicyclists and pedestrians are added based on </w:t>
      </w:r>
      <w:r>
        <w:rPr>
          <w:bCs/>
        </w:rPr>
        <w:t xml:space="preserve">Litman and Doherty </w:t>
      </w:r>
      <w:r w:rsidRPr="000F0625">
        <w:rPr>
          <w:bCs/>
        </w:rPr>
        <w:t>(201</w:t>
      </w:r>
      <w:r>
        <w:rPr>
          <w:bCs/>
        </w:rPr>
        <w:t>1</w:t>
      </w:r>
      <w:r w:rsidRPr="000F0625">
        <w:rPr>
          <w:bCs/>
        </w:rPr>
        <w:t>), at 79% of Canadian values (€</w:t>
      </w:r>
      <w:r w:rsidRPr="000F0625">
        <w:rPr>
          <w:bCs/>
          <w:vertAlign w:val="subscript"/>
        </w:rPr>
        <w:t>2017</w:t>
      </w:r>
      <w:r w:rsidRPr="000F0625">
        <w:rPr>
          <w:bCs/>
        </w:rPr>
        <w:t xml:space="preserve">0.005/pkm). Congestion and barrier costs of cyclists are lower, at </w:t>
      </w:r>
      <w:r>
        <w:rPr>
          <w:bCs/>
        </w:rPr>
        <w:t>€</w:t>
      </w:r>
      <w:r w:rsidRPr="000F0625">
        <w:rPr>
          <w:bCs/>
          <w:vertAlign w:val="subscript"/>
        </w:rPr>
        <w:t>2017</w:t>
      </w:r>
      <w:r w:rsidRPr="000F0625">
        <w:rPr>
          <w:bCs/>
        </w:rPr>
        <w:t>0.001/pkm (</w:t>
      </w:r>
      <w:r>
        <w:t>Litman and Doherty, 2011</w:t>
      </w:r>
      <w:r w:rsidRPr="000F0625">
        <w:rPr>
          <w:bCs/>
        </w:rPr>
        <w:t>). These values are also used for walking.</w:t>
      </w:r>
    </w:p>
    <w:p w14:paraId="60BDA406" w14:textId="77777777" w:rsidR="00B428DF" w:rsidRPr="000F0625" w:rsidRDefault="00B428DF" w:rsidP="00B428DF">
      <w:pPr>
        <w:spacing w:line="480" w:lineRule="auto"/>
        <w:jc w:val="both"/>
        <w:rPr>
          <w:bCs/>
        </w:rPr>
      </w:pPr>
    </w:p>
    <w:p w14:paraId="664A6866" w14:textId="77777777" w:rsidR="00B428DF" w:rsidRPr="000F0625" w:rsidRDefault="00B428DF" w:rsidP="00B428DF">
      <w:pPr>
        <w:spacing w:line="480" w:lineRule="auto"/>
        <w:rPr>
          <w:b/>
          <w:bCs/>
        </w:rPr>
      </w:pPr>
      <w:r w:rsidRPr="000F0625">
        <w:rPr>
          <w:b/>
          <w:bCs/>
        </w:rPr>
        <w:t>Table 1</w:t>
      </w:r>
      <w:r>
        <w:rPr>
          <w:b/>
          <w:bCs/>
        </w:rPr>
        <w:t>1</w:t>
      </w:r>
      <w:r w:rsidRPr="000F0625">
        <w:rPr>
          <w:b/>
          <w:bCs/>
        </w:rPr>
        <w:t>: Value of congestion/barrier effects</w:t>
      </w:r>
    </w:p>
    <w:tbl>
      <w:tblPr>
        <w:tblStyle w:val="Tabelraster"/>
        <w:tblW w:w="0" w:type="auto"/>
        <w:tblInd w:w="108" w:type="dxa"/>
        <w:tblLook w:val="04A0" w:firstRow="1" w:lastRow="0" w:firstColumn="1" w:lastColumn="0" w:noHBand="0" w:noVBand="1"/>
      </w:tblPr>
      <w:tblGrid>
        <w:gridCol w:w="2481"/>
        <w:gridCol w:w="1579"/>
        <w:gridCol w:w="1825"/>
        <w:gridCol w:w="2767"/>
      </w:tblGrid>
      <w:tr w:rsidR="00B428DF" w:rsidRPr="000F0625" w14:paraId="72EC802F" w14:textId="77777777" w:rsidTr="00080905">
        <w:tc>
          <w:tcPr>
            <w:tcW w:w="2481" w:type="dxa"/>
          </w:tcPr>
          <w:p w14:paraId="4F93F250" w14:textId="77777777" w:rsidR="00B428DF" w:rsidRPr="000F0625" w:rsidRDefault="00B428DF" w:rsidP="00080905">
            <w:pPr>
              <w:spacing w:line="480" w:lineRule="auto"/>
              <w:rPr>
                <w:b/>
                <w:bCs/>
                <w:lang w:val="en-GB"/>
              </w:rPr>
            </w:pPr>
            <w:r w:rsidRPr="000F0625">
              <w:rPr>
                <w:b/>
                <w:bCs/>
                <w:lang w:val="en-GB"/>
              </w:rPr>
              <w:lastRenderedPageBreak/>
              <w:t>Assessment Cars</w:t>
            </w:r>
          </w:p>
        </w:tc>
        <w:tc>
          <w:tcPr>
            <w:tcW w:w="1579" w:type="dxa"/>
          </w:tcPr>
          <w:p w14:paraId="79C3B80F" w14:textId="77777777" w:rsidR="00B428DF" w:rsidRPr="000F0625" w:rsidRDefault="00B428DF" w:rsidP="00080905">
            <w:pPr>
              <w:spacing w:line="480" w:lineRule="auto"/>
              <w:rPr>
                <w:b/>
                <w:bCs/>
                <w:lang w:val="en-GB"/>
              </w:rPr>
            </w:pPr>
            <w:r>
              <w:rPr>
                <w:b/>
                <w:bCs/>
                <w:lang w:val="en-GB"/>
              </w:rPr>
              <w:t>Cost external</w:t>
            </w:r>
          </w:p>
        </w:tc>
        <w:tc>
          <w:tcPr>
            <w:tcW w:w="1825" w:type="dxa"/>
          </w:tcPr>
          <w:p w14:paraId="6478FED9" w14:textId="77777777" w:rsidR="00B428DF" w:rsidRPr="000F0625" w:rsidRDefault="00B428DF" w:rsidP="00080905">
            <w:pPr>
              <w:spacing w:line="480" w:lineRule="auto"/>
              <w:rPr>
                <w:b/>
                <w:bCs/>
                <w:lang w:val="en-GB"/>
              </w:rPr>
            </w:pPr>
            <w:r w:rsidRPr="000F0625">
              <w:rPr>
                <w:b/>
                <w:bCs/>
                <w:lang w:val="en-GB"/>
              </w:rPr>
              <w:t>Cost private</w:t>
            </w:r>
          </w:p>
        </w:tc>
        <w:tc>
          <w:tcPr>
            <w:tcW w:w="2767" w:type="dxa"/>
          </w:tcPr>
          <w:p w14:paraId="10D5BE26"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6CF9CBA6" w14:textId="77777777" w:rsidTr="00080905">
        <w:trPr>
          <w:trHeight w:val="296"/>
        </w:trPr>
        <w:tc>
          <w:tcPr>
            <w:tcW w:w="2481" w:type="dxa"/>
          </w:tcPr>
          <w:p w14:paraId="75FE76BE" w14:textId="77777777" w:rsidR="00B428DF" w:rsidRPr="000F0625" w:rsidRDefault="00B428DF" w:rsidP="00080905">
            <w:pPr>
              <w:spacing w:line="480" w:lineRule="auto"/>
              <w:rPr>
                <w:bCs/>
                <w:lang w:val="en-GB"/>
              </w:rPr>
            </w:pPr>
            <w:r w:rsidRPr="000F0625">
              <w:rPr>
                <w:bCs/>
                <w:lang w:val="en-GB"/>
              </w:rPr>
              <w:t>Congestion</w:t>
            </w:r>
          </w:p>
        </w:tc>
        <w:tc>
          <w:tcPr>
            <w:tcW w:w="1579" w:type="dxa"/>
          </w:tcPr>
          <w:p w14:paraId="3E1E57FA" w14:textId="77777777" w:rsidR="00B428DF" w:rsidRPr="000F0625" w:rsidRDefault="00B428DF" w:rsidP="00080905">
            <w:pPr>
              <w:spacing w:line="480" w:lineRule="auto"/>
              <w:rPr>
                <w:bCs/>
                <w:lang w:val="en-GB"/>
              </w:rPr>
            </w:pPr>
            <w:r w:rsidRPr="000F0625">
              <w:rPr>
                <w:bCs/>
                <w:lang w:val="en-GB"/>
              </w:rPr>
              <w:t>0</w:t>
            </w:r>
          </w:p>
        </w:tc>
        <w:tc>
          <w:tcPr>
            <w:tcW w:w="1825" w:type="dxa"/>
          </w:tcPr>
          <w:p w14:paraId="2D21DC86" w14:textId="77777777" w:rsidR="00B428DF" w:rsidRPr="000F0625" w:rsidRDefault="00B428DF" w:rsidP="00080905">
            <w:pPr>
              <w:spacing w:line="480" w:lineRule="auto"/>
              <w:rPr>
                <w:bCs/>
                <w:lang w:val="en-GB"/>
              </w:rPr>
            </w:pPr>
            <w:r w:rsidRPr="000F0625">
              <w:rPr>
                <w:bCs/>
                <w:lang w:val="en-GB"/>
              </w:rPr>
              <w:t>€</w:t>
            </w:r>
            <w:r w:rsidRPr="000F0625">
              <w:rPr>
                <w:bCs/>
                <w:vertAlign w:val="subscript"/>
                <w:lang w:val="en-GB"/>
              </w:rPr>
              <w:t>2017</w:t>
            </w:r>
            <w:r w:rsidRPr="000F0625">
              <w:rPr>
                <w:bCs/>
                <w:lang w:val="en-GB"/>
              </w:rPr>
              <w:t>0.355/pkm</w:t>
            </w:r>
          </w:p>
        </w:tc>
        <w:tc>
          <w:tcPr>
            <w:tcW w:w="2767" w:type="dxa"/>
          </w:tcPr>
          <w:p w14:paraId="0715DE32" w14:textId="77777777" w:rsidR="00B428DF" w:rsidRPr="000F0625" w:rsidRDefault="00B428DF" w:rsidP="00080905">
            <w:pPr>
              <w:spacing w:line="480" w:lineRule="auto"/>
              <w:rPr>
                <w:bCs/>
                <w:lang w:val="en-GB"/>
              </w:rPr>
            </w:pPr>
            <w:r>
              <w:t>Litman and Doherty, 2011</w:t>
            </w:r>
          </w:p>
        </w:tc>
      </w:tr>
      <w:tr w:rsidR="00B428DF" w:rsidRPr="000F0625" w14:paraId="372BD735" w14:textId="77777777" w:rsidTr="00080905">
        <w:trPr>
          <w:trHeight w:val="296"/>
        </w:trPr>
        <w:tc>
          <w:tcPr>
            <w:tcW w:w="2481" w:type="dxa"/>
          </w:tcPr>
          <w:p w14:paraId="460694F1" w14:textId="77777777" w:rsidR="00B428DF" w:rsidRPr="000F0625" w:rsidRDefault="00B428DF" w:rsidP="00080905">
            <w:pPr>
              <w:spacing w:line="480" w:lineRule="auto"/>
              <w:rPr>
                <w:bCs/>
                <w:lang w:val="en-GB"/>
              </w:rPr>
            </w:pPr>
            <w:r w:rsidRPr="000F0625">
              <w:rPr>
                <w:bCs/>
                <w:lang w:val="en-GB"/>
              </w:rPr>
              <w:t>Barrier effects</w:t>
            </w:r>
          </w:p>
        </w:tc>
        <w:tc>
          <w:tcPr>
            <w:tcW w:w="1579" w:type="dxa"/>
          </w:tcPr>
          <w:p w14:paraId="058CC249" w14:textId="77777777" w:rsidR="00B428DF" w:rsidRPr="000F0625" w:rsidRDefault="00B428DF" w:rsidP="00080905">
            <w:pPr>
              <w:spacing w:line="480" w:lineRule="auto"/>
              <w:rPr>
                <w:bCs/>
                <w:lang w:val="en-GB"/>
              </w:rPr>
            </w:pPr>
            <w:r w:rsidRPr="000F0625">
              <w:rPr>
                <w:bCs/>
                <w:lang w:val="en-GB"/>
              </w:rPr>
              <w:t>0</w:t>
            </w:r>
          </w:p>
        </w:tc>
        <w:tc>
          <w:tcPr>
            <w:tcW w:w="1825" w:type="dxa"/>
          </w:tcPr>
          <w:p w14:paraId="0406311B" w14:textId="77777777" w:rsidR="00B428DF" w:rsidRPr="000F0625" w:rsidRDefault="00B428DF" w:rsidP="00080905">
            <w:pPr>
              <w:spacing w:line="480" w:lineRule="auto"/>
              <w:rPr>
                <w:bCs/>
                <w:lang w:val="en-GB"/>
              </w:rPr>
            </w:pPr>
            <w:r w:rsidRPr="000F0625">
              <w:rPr>
                <w:bCs/>
                <w:lang w:val="en-GB"/>
              </w:rPr>
              <w:t>€</w:t>
            </w:r>
            <w:r w:rsidRPr="000F0625">
              <w:rPr>
                <w:bCs/>
                <w:vertAlign w:val="subscript"/>
                <w:lang w:val="en-GB"/>
              </w:rPr>
              <w:t>2017</w:t>
            </w:r>
            <w:r w:rsidRPr="000F0625">
              <w:rPr>
                <w:bCs/>
                <w:lang w:val="en-GB"/>
              </w:rPr>
              <w:t>0.005/pkm</w:t>
            </w:r>
          </w:p>
        </w:tc>
        <w:tc>
          <w:tcPr>
            <w:tcW w:w="2767" w:type="dxa"/>
          </w:tcPr>
          <w:p w14:paraId="7C969054" w14:textId="77777777" w:rsidR="00B428DF" w:rsidRPr="000F0625" w:rsidRDefault="00B428DF" w:rsidP="00080905">
            <w:pPr>
              <w:spacing w:line="480" w:lineRule="auto"/>
              <w:rPr>
                <w:bCs/>
                <w:lang w:val="en-GB"/>
              </w:rPr>
            </w:pPr>
            <w:r>
              <w:t>Litman and Doherty, 2011</w:t>
            </w:r>
          </w:p>
        </w:tc>
      </w:tr>
      <w:tr w:rsidR="00B428DF" w:rsidRPr="000F0625" w14:paraId="2CCF93B7" w14:textId="77777777" w:rsidTr="00080905">
        <w:tc>
          <w:tcPr>
            <w:tcW w:w="2481" w:type="dxa"/>
          </w:tcPr>
          <w:p w14:paraId="27EBED4A" w14:textId="77777777" w:rsidR="00B428DF" w:rsidRPr="000F0625" w:rsidRDefault="00B428DF" w:rsidP="00080905">
            <w:pPr>
              <w:spacing w:line="480" w:lineRule="auto"/>
              <w:rPr>
                <w:b/>
                <w:bCs/>
                <w:lang w:val="en-GB"/>
              </w:rPr>
            </w:pPr>
            <w:r w:rsidRPr="000F0625">
              <w:rPr>
                <w:b/>
                <w:bCs/>
                <w:lang w:val="en-GB"/>
              </w:rPr>
              <w:t>Assessment Bicycles</w:t>
            </w:r>
          </w:p>
        </w:tc>
        <w:tc>
          <w:tcPr>
            <w:tcW w:w="1579" w:type="dxa"/>
          </w:tcPr>
          <w:p w14:paraId="20FAEBFA" w14:textId="77777777" w:rsidR="00B428DF" w:rsidRPr="000F0625" w:rsidRDefault="00B428DF" w:rsidP="00080905">
            <w:pPr>
              <w:spacing w:line="480" w:lineRule="auto"/>
              <w:rPr>
                <w:b/>
                <w:bCs/>
                <w:lang w:val="en-GB"/>
              </w:rPr>
            </w:pPr>
            <w:r>
              <w:rPr>
                <w:b/>
                <w:bCs/>
                <w:lang w:val="en-GB"/>
              </w:rPr>
              <w:t>Cost external</w:t>
            </w:r>
          </w:p>
        </w:tc>
        <w:tc>
          <w:tcPr>
            <w:tcW w:w="1825" w:type="dxa"/>
          </w:tcPr>
          <w:p w14:paraId="553BA338" w14:textId="77777777" w:rsidR="00B428DF" w:rsidRPr="000F0625" w:rsidRDefault="00B428DF" w:rsidP="00080905">
            <w:pPr>
              <w:spacing w:line="480" w:lineRule="auto"/>
              <w:rPr>
                <w:b/>
                <w:bCs/>
                <w:lang w:val="en-GB"/>
              </w:rPr>
            </w:pPr>
            <w:r w:rsidRPr="000F0625">
              <w:rPr>
                <w:b/>
                <w:bCs/>
                <w:lang w:val="en-GB"/>
              </w:rPr>
              <w:t>Cost private</w:t>
            </w:r>
          </w:p>
        </w:tc>
        <w:tc>
          <w:tcPr>
            <w:tcW w:w="2767" w:type="dxa"/>
          </w:tcPr>
          <w:p w14:paraId="6BF18D88"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03017368" w14:textId="77777777" w:rsidTr="00080905">
        <w:trPr>
          <w:trHeight w:val="296"/>
        </w:trPr>
        <w:tc>
          <w:tcPr>
            <w:tcW w:w="2481" w:type="dxa"/>
          </w:tcPr>
          <w:p w14:paraId="3262B051" w14:textId="77777777" w:rsidR="00B428DF" w:rsidRPr="000F0625" w:rsidRDefault="00B428DF" w:rsidP="00080905">
            <w:pPr>
              <w:spacing w:line="480" w:lineRule="auto"/>
              <w:rPr>
                <w:bCs/>
                <w:lang w:val="en-GB"/>
              </w:rPr>
            </w:pPr>
            <w:r w:rsidRPr="000F0625">
              <w:rPr>
                <w:bCs/>
                <w:lang w:val="en-GB"/>
              </w:rPr>
              <w:t xml:space="preserve">Congestion </w:t>
            </w:r>
          </w:p>
        </w:tc>
        <w:tc>
          <w:tcPr>
            <w:tcW w:w="1579" w:type="dxa"/>
          </w:tcPr>
          <w:p w14:paraId="0F12EF4B" w14:textId="77777777" w:rsidR="00B428DF" w:rsidRPr="000F0625" w:rsidRDefault="00B428DF" w:rsidP="00080905">
            <w:pPr>
              <w:spacing w:line="480" w:lineRule="auto"/>
              <w:rPr>
                <w:bCs/>
                <w:lang w:val="en-GB"/>
              </w:rPr>
            </w:pPr>
            <w:r w:rsidRPr="000F0625">
              <w:rPr>
                <w:bCs/>
                <w:lang w:val="en-GB"/>
              </w:rPr>
              <w:t>0</w:t>
            </w:r>
          </w:p>
        </w:tc>
        <w:tc>
          <w:tcPr>
            <w:tcW w:w="1825" w:type="dxa"/>
          </w:tcPr>
          <w:p w14:paraId="6472B7E2" w14:textId="77777777" w:rsidR="00B428DF" w:rsidRPr="000F0625" w:rsidRDefault="00B428DF" w:rsidP="00080905">
            <w:pPr>
              <w:spacing w:line="480" w:lineRule="auto"/>
              <w:rPr>
                <w:bCs/>
                <w:lang w:val="en-GB"/>
              </w:rPr>
            </w:pPr>
            <w:r w:rsidRPr="000F0625">
              <w:rPr>
                <w:bCs/>
                <w:lang w:val="en-GB"/>
              </w:rPr>
              <w:t>&lt;€</w:t>
            </w:r>
            <w:r w:rsidRPr="000F0625">
              <w:rPr>
                <w:bCs/>
                <w:vertAlign w:val="subscript"/>
                <w:lang w:val="en-GB"/>
              </w:rPr>
              <w:t>2017</w:t>
            </w:r>
            <w:r w:rsidRPr="000F0625">
              <w:rPr>
                <w:bCs/>
                <w:lang w:val="en-GB"/>
              </w:rPr>
              <w:t>0.001/pkm</w:t>
            </w:r>
          </w:p>
        </w:tc>
        <w:tc>
          <w:tcPr>
            <w:tcW w:w="2767" w:type="dxa"/>
          </w:tcPr>
          <w:p w14:paraId="20053651" w14:textId="77777777" w:rsidR="00B428DF" w:rsidRPr="000F0625" w:rsidRDefault="00B428DF" w:rsidP="00080905">
            <w:pPr>
              <w:spacing w:line="480" w:lineRule="auto"/>
              <w:rPr>
                <w:bCs/>
                <w:lang w:val="en-GB"/>
              </w:rPr>
            </w:pPr>
            <w:r>
              <w:t>Litman and Doherty, 2011</w:t>
            </w:r>
          </w:p>
        </w:tc>
      </w:tr>
      <w:tr w:rsidR="00B428DF" w:rsidRPr="000F0625" w14:paraId="6A049550" w14:textId="77777777" w:rsidTr="00080905">
        <w:trPr>
          <w:trHeight w:val="296"/>
        </w:trPr>
        <w:tc>
          <w:tcPr>
            <w:tcW w:w="2481" w:type="dxa"/>
          </w:tcPr>
          <w:p w14:paraId="69B5162D" w14:textId="77777777" w:rsidR="00B428DF" w:rsidRPr="000F0625" w:rsidRDefault="00B428DF" w:rsidP="00080905">
            <w:pPr>
              <w:spacing w:line="480" w:lineRule="auto"/>
              <w:rPr>
                <w:bCs/>
                <w:lang w:val="en-GB"/>
              </w:rPr>
            </w:pPr>
            <w:r w:rsidRPr="000F0625">
              <w:rPr>
                <w:bCs/>
                <w:lang w:val="en-GB"/>
              </w:rPr>
              <w:t>Barrier effects</w:t>
            </w:r>
          </w:p>
        </w:tc>
        <w:tc>
          <w:tcPr>
            <w:tcW w:w="1579" w:type="dxa"/>
          </w:tcPr>
          <w:p w14:paraId="63209B6F" w14:textId="77777777" w:rsidR="00B428DF" w:rsidRPr="000F0625" w:rsidRDefault="00B428DF" w:rsidP="00080905">
            <w:pPr>
              <w:spacing w:line="480" w:lineRule="auto"/>
              <w:rPr>
                <w:bCs/>
                <w:lang w:val="en-GB"/>
              </w:rPr>
            </w:pPr>
            <w:r w:rsidRPr="000F0625">
              <w:rPr>
                <w:bCs/>
                <w:lang w:val="en-GB"/>
              </w:rPr>
              <w:t>0</w:t>
            </w:r>
          </w:p>
        </w:tc>
        <w:tc>
          <w:tcPr>
            <w:tcW w:w="1825" w:type="dxa"/>
          </w:tcPr>
          <w:p w14:paraId="74F7CF0E" w14:textId="77777777" w:rsidR="00B428DF" w:rsidRPr="000F0625" w:rsidRDefault="00B428DF" w:rsidP="00080905">
            <w:pPr>
              <w:spacing w:line="480" w:lineRule="auto"/>
              <w:rPr>
                <w:bCs/>
                <w:lang w:val="en-GB"/>
              </w:rPr>
            </w:pPr>
            <w:r w:rsidRPr="000F0625">
              <w:rPr>
                <w:bCs/>
                <w:lang w:val="en-GB"/>
              </w:rPr>
              <w:t>&lt;€</w:t>
            </w:r>
            <w:r w:rsidRPr="000F0625">
              <w:rPr>
                <w:bCs/>
                <w:vertAlign w:val="subscript"/>
                <w:lang w:val="en-GB"/>
              </w:rPr>
              <w:t>2017</w:t>
            </w:r>
            <w:r w:rsidRPr="000F0625">
              <w:rPr>
                <w:bCs/>
                <w:lang w:val="en-GB"/>
              </w:rPr>
              <w:t>0.001/pkm</w:t>
            </w:r>
          </w:p>
        </w:tc>
        <w:tc>
          <w:tcPr>
            <w:tcW w:w="2767" w:type="dxa"/>
          </w:tcPr>
          <w:p w14:paraId="61CF5534" w14:textId="77777777" w:rsidR="00B428DF" w:rsidRPr="000F0625" w:rsidRDefault="00B428DF" w:rsidP="00080905">
            <w:pPr>
              <w:spacing w:line="480" w:lineRule="auto"/>
              <w:rPr>
                <w:bCs/>
                <w:lang w:val="en-GB"/>
              </w:rPr>
            </w:pPr>
            <w:r>
              <w:t>Litman and Doherty, 2011</w:t>
            </w:r>
          </w:p>
        </w:tc>
      </w:tr>
      <w:tr w:rsidR="00B428DF" w:rsidRPr="000F0625" w14:paraId="08F173AB" w14:textId="77777777" w:rsidTr="00080905">
        <w:tc>
          <w:tcPr>
            <w:tcW w:w="2481" w:type="dxa"/>
          </w:tcPr>
          <w:p w14:paraId="4CE10DB5" w14:textId="77777777" w:rsidR="00B428DF" w:rsidRPr="000F0625" w:rsidRDefault="00B428DF" w:rsidP="00080905">
            <w:pPr>
              <w:spacing w:line="480" w:lineRule="auto"/>
              <w:rPr>
                <w:b/>
                <w:bCs/>
                <w:lang w:val="en-GB"/>
              </w:rPr>
            </w:pPr>
            <w:r w:rsidRPr="000F0625">
              <w:rPr>
                <w:b/>
                <w:bCs/>
                <w:lang w:val="en-GB"/>
              </w:rPr>
              <w:t>Assessment Walking</w:t>
            </w:r>
          </w:p>
        </w:tc>
        <w:tc>
          <w:tcPr>
            <w:tcW w:w="1579" w:type="dxa"/>
          </w:tcPr>
          <w:p w14:paraId="70D7A4F4" w14:textId="77777777" w:rsidR="00B428DF" w:rsidRPr="000F0625" w:rsidRDefault="00B428DF" w:rsidP="00080905">
            <w:pPr>
              <w:spacing w:line="480" w:lineRule="auto"/>
              <w:rPr>
                <w:b/>
                <w:bCs/>
                <w:lang w:val="en-GB"/>
              </w:rPr>
            </w:pPr>
            <w:r>
              <w:rPr>
                <w:b/>
                <w:bCs/>
                <w:lang w:val="en-GB"/>
              </w:rPr>
              <w:t>Cost external</w:t>
            </w:r>
          </w:p>
        </w:tc>
        <w:tc>
          <w:tcPr>
            <w:tcW w:w="1825" w:type="dxa"/>
          </w:tcPr>
          <w:p w14:paraId="1BE01A6E" w14:textId="77777777" w:rsidR="00B428DF" w:rsidRPr="000F0625" w:rsidRDefault="00B428DF" w:rsidP="00080905">
            <w:pPr>
              <w:spacing w:line="480" w:lineRule="auto"/>
              <w:rPr>
                <w:b/>
                <w:bCs/>
                <w:lang w:val="en-GB"/>
              </w:rPr>
            </w:pPr>
            <w:r w:rsidRPr="000F0625">
              <w:rPr>
                <w:b/>
                <w:bCs/>
                <w:lang w:val="en-GB"/>
              </w:rPr>
              <w:t>Cost private</w:t>
            </w:r>
          </w:p>
        </w:tc>
        <w:tc>
          <w:tcPr>
            <w:tcW w:w="2767" w:type="dxa"/>
          </w:tcPr>
          <w:p w14:paraId="7F62B61D" w14:textId="77777777" w:rsidR="00B428DF" w:rsidRPr="000F0625" w:rsidRDefault="00B428DF" w:rsidP="00080905">
            <w:pPr>
              <w:spacing w:line="480" w:lineRule="auto"/>
              <w:rPr>
                <w:b/>
                <w:bCs/>
                <w:lang w:val="en-GB"/>
              </w:rPr>
            </w:pPr>
            <w:r w:rsidRPr="000F0625">
              <w:rPr>
                <w:b/>
                <w:bCs/>
                <w:lang w:val="en-GB"/>
              </w:rPr>
              <w:t>Reference</w:t>
            </w:r>
          </w:p>
        </w:tc>
      </w:tr>
      <w:tr w:rsidR="00B428DF" w:rsidRPr="000F0625" w14:paraId="1E70A58E" w14:textId="77777777" w:rsidTr="00080905">
        <w:trPr>
          <w:trHeight w:val="296"/>
        </w:trPr>
        <w:tc>
          <w:tcPr>
            <w:tcW w:w="2481" w:type="dxa"/>
          </w:tcPr>
          <w:p w14:paraId="31EF27C9" w14:textId="77777777" w:rsidR="00B428DF" w:rsidRPr="000F0625" w:rsidRDefault="00B428DF" w:rsidP="00080905">
            <w:pPr>
              <w:spacing w:line="480" w:lineRule="auto"/>
              <w:rPr>
                <w:bCs/>
                <w:lang w:val="en-GB"/>
              </w:rPr>
            </w:pPr>
            <w:r w:rsidRPr="000F0625">
              <w:rPr>
                <w:bCs/>
                <w:lang w:val="en-GB"/>
              </w:rPr>
              <w:t xml:space="preserve">Congestion </w:t>
            </w:r>
          </w:p>
        </w:tc>
        <w:tc>
          <w:tcPr>
            <w:tcW w:w="1579" w:type="dxa"/>
          </w:tcPr>
          <w:p w14:paraId="3ED61A7E" w14:textId="77777777" w:rsidR="00B428DF" w:rsidRPr="000F0625" w:rsidRDefault="00B428DF" w:rsidP="00080905">
            <w:pPr>
              <w:spacing w:line="480" w:lineRule="auto"/>
              <w:rPr>
                <w:bCs/>
                <w:lang w:val="en-GB"/>
              </w:rPr>
            </w:pPr>
            <w:r w:rsidRPr="000F0625">
              <w:rPr>
                <w:bCs/>
                <w:lang w:val="en-GB"/>
              </w:rPr>
              <w:t>0</w:t>
            </w:r>
          </w:p>
        </w:tc>
        <w:tc>
          <w:tcPr>
            <w:tcW w:w="1825" w:type="dxa"/>
          </w:tcPr>
          <w:p w14:paraId="36C330C3" w14:textId="77777777" w:rsidR="00B428DF" w:rsidRPr="000F0625" w:rsidRDefault="00B428DF" w:rsidP="00080905">
            <w:pPr>
              <w:spacing w:line="480" w:lineRule="auto"/>
              <w:rPr>
                <w:bCs/>
                <w:lang w:val="en-GB"/>
              </w:rPr>
            </w:pPr>
            <w:r w:rsidRPr="000F0625">
              <w:rPr>
                <w:bCs/>
                <w:lang w:val="en-GB"/>
              </w:rPr>
              <w:t>&lt;€</w:t>
            </w:r>
            <w:r w:rsidRPr="000F0625">
              <w:rPr>
                <w:bCs/>
                <w:vertAlign w:val="subscript"/>
                <w:lang w:val="en-GB"/>
              </w:rPr>
              <w:t>2017</w:t>
            </w:r>
            <w:r w:rsidRPr="000F0625">
              <w:rPr>
                <w:bCs/>
                <w:lang w:val="en-GB"/>
              </w:rPr>
              <w:t>0.001/pkm</w:t>
            </w:r>
          </w:p>
        </w:tc>
        <w:tc>
          <w:tcPr>
            <w:tcW w:w="2767" w:type="dxa"/>
          </w:tcPr>
          <w:p w14:paraId="79326C46" w14:textId="77777777" w:rsidR="00B428DF" w:rsidRPr="000F0625" w:rsidRDefault="00B428DF" w:rsidP="00080905">
            <w:pPr>
              <w:spacing w:line="480" w:lineRule="auto"/>
              <w:rPr>
                <w:bCs/>
                <w:lang w:val="en-GB"/>
              </w:rPr>
            </w:pPr>
            <w:r>
              <w:t>Litman and Doherty, 2011</w:t>
            </w:r>
          </w:p>
        </w:tc>
      </w:tr>
      <w:tr w:rsidR="00B428DF" w:rsidRPr="000F0625" w14:paraId="5DB9946C" w14:textId="77777777" w:rsidTr="00080905">
        <w:trPr>
          <w:trHeight w:val="296"/>
        </w:trPr>
        <w:tc>
          <w:tcPr>
            <w:tcW w:w="2481" w:type="dxa"/>
          </w:tcPr>
          <w:p w14:paraId="628BF042" w14:textId="77777777" w:rsidR="00B428DF" w:rsidRPr="000F0625" w:rsidRDefault="00B428DF" w:rsidP="00080905">
            <w:pPr>
              <w:spacing w:line="480" w:lineRule="auto"/>
              <w:rPr>
                <w:bCs/>
                <w:lang w:val="en-GB"/>
              </w:rPr>
            </w:pPr>
            <w:r w:rsidRPr="000F0625">
              <w:rPr>
                <w:bCs/>
                <w:lang w:val="en-GB"/>
              </w:rPr>
              <w:t>Barrier effects</w:t>
            </w:r>
          </w:p>
        </w:tc>
        <w:tc>
          <w:tcPr>
            <w:tcW w:w="1579" w:type="dxa"/>
          </w:tcPr>
          <w:p w14:paraId="2D8CEC3E" w14:textId="77777777" w:rsidR="00B428DF" w:rsidRPr="000F0625" w:rsidRDefault="00B428DF" w:rsidP="00080905">
            <w:pPr>
              <w:spacing w:line="480" w:lineRule="auto"/>
              <w:rPr>
                <w:bCs/>
                <w:lang w:val="en-GB"/>
              </w:rPr>
            </w:pPr>
            <w:r w:rsidRPr="000F0625">
              <w:rPr>
                <w:bCs/>
                <w:lang w:val="en-GB"/>
              </w:rPr>
              <w:t>0</w:t>
            </w:r>
          </w:p>
        </w:tc>
        <w:tc>
          <w:tcPr>
            <w:tcW w:w="1825" w:type="dxa"/>
          </w:tcPr>
          <w:p w14:paraId="124FDF51" w14:textId="77777777" w:rsidR="00B428DF" w:rsidRPr="000F0625" w:rsidRDefault="00B428DF" w:rsidP="00080905">
            <w:pPr>
              <w:spacing w:line="480" w:lineRule="auto"/>
              <w:rPr>
                <w:bCs/>
                <w:lang w:val="en-GB"/>
              </w:rPr>
            </w:pPr>
            <w:r w:rsidRPr="000F0625">
              <w:rPr>
                <w:bCs/>
                <w:lang w:val="en-GB"/>
              </w:rPr>
              <w:t>&lt;€</w:t>
            </w:r>
            <w:r w:rsidRPr="000F0625">
              <w:rPr>
                <w:bCs/>
                <w:vertAlign w:val="subscript"/>
                <w:lang w:val="en-GB"/>
              </w:rPr>
              <w:t>2017</w:t>
            </w:r>
            <w:r w:rsidRPr="000F0625">
              <w:rPr>
                <w:bCs/>
                <w:lang w:val="en-GB"/>
              </w:rPr>
              <w:t>0.001/pkm</w:t>
            </w:r>
          </w:p>
        </w:tc>
        <w:tc>
          <w:tcPr>
            <w:tcW w:w="2767" w:type="dxa"/>
          </w:tcPr>
          <w:p w14:paraId="1D36E345" w14:textId="77777777" w:rsidR="00B428DF" w:rsidRPr="000F0625" w:rsidRDefault="00B428DF" w:rsidP="00080905">
            <w:pPr>
              <w:spacing w:line="480" w:lineRule="auto"/>
              <w:rPr>
                <w:bCs/>
                <w:lang w:val="en-GB"/>
              </w:rPr>
            </w:pPr>
            <w:r>
              <w:t>Litman and Doherty, 2011</w:t>
            </w:r>
          </w:p>
        </w:tc>
      </w:tr>
    </w:tbl>
    <w:p w14:paraId="337FE294" w14:textId="77777777" w:rsidR="00B428DF" w:rsidRPr="000F0625" w:rsidRDefault="00B428DF" w:rsidP="00B428DF">
      <w:pPr>
        <w:spacing w:line="480" w:lineRule="auto"/>
        <w:rPr>
          <w:b/>
          <w:bCs/>
          <w:i/>
        </w:rPr>
      </w:pPr>
    </w:p>
    <w:p w14:paraId="4C241E75" w14:textId="77777777" w:rsidR="00B428DF" w:rsidRPr="000F0625" w:rsidRDefault="00B428DF" w:rsidP="00B428DF">
      <w:pPr>
        <w:spacing w:line="480" w:lineRule="auto"/>
        <w:rPr>
          <w:b/>
          <w:bCs/>
        </w:rPr>
      </w:pPr>
    </w:p>
    <w:p w14:paraId="20B14E6A"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Pr>
          <w:rFonts w:ascii="Times New Roman" w:hAnsi="Times New Roman" w:cs="Times New Roman"/>
          <w:b/>
          <w:bCs/>
        </w:rPr>
        <w:t>Health benefits</w:t>
      </w:r>
    </w:p>
    <w:p w14:paraId="4D19FF2A" w14:textId="77777777" w:rsidR="00B428DF" w:rsidRPr="000F0625" w:rsidRDefault="00B428DF" w:rsidP="00B428DF">
      <w:pPr>
        <w:spacing w:line="480" w:lineRule="auto"/>
        <w:jc w:val="both"/>
        <w:outlineLvl w:val="0"/>
        <w:rPr>
          <w:color w:val="000000" w:themeColor="text1"/>
        </w:rPr>
      </w:pPr>
      <w:r>
        <w:rPr>
          <w:color w:val="000000" w:themeColor="text1"/>
        </w:rPr>
        <w:t>Litman and Doherty (2011)</w:t>
      </w:r>
      <w:r w:rsidRPr="000F0625">
        <w:rPr>
          <w:color w:val="000000" w:themeColor="text1"/>
        </w:rPr>
        <w:t xml:space="preserve"> quantif</w:t>
      </w:r>
      <w:r>
        <w:rPr>
          <w:color w:val="000000" w:themeColor="text1"/>
        </w:rPr>
        <w:t>y</w:t>
      </w:r>
      <w:r w:rsidRPr="000F0625">
        <w:rPr>
          <w:color w:val="000000" w:themeColor="text1"/>
        </w:rPr>
        <w:t xml:space="preserve"> </w:t>
      </w:r>
      <w:r>
        <w:rPr>
          <w:color w:val="000000" w:themeColor="text1"/>
        </w:rPr>
        <w:t>external</w:t>
      </w:r>
      <w:r w:rsidRPr="000F0625">
        <w:rPr>
          <w:color w:val="000000" w:themeColor="text1"/>
        </w:rPr>
        <w:t xml:space="preserve"> and private health benefits for cyclists at €</w:t>
      </w:r>
      <w:r w:rsidRPr="000F0625">
        <w:rPr>
          <w:color w:val="000000" w:themeColor="text1"/>
          <w:vertAlign w:val="subscript"/>
        </w:rPr>
        <w:t>2017</w:t>
      </w:r>
      <w:r w:rsidRPr="000F0625">
        <w:rPr>
          <w:color w:val="000000" w:themeColor="text1"/>
        </w:rPr>
        <w:t>-0.062/pkm each, i.e. the overall benefit of €</w:t>
      </w:r>
      <w:r w:rsidRPr="000F0625">
        <w:rPr>
          <w:color w:val="000000" w:themeColor="text1"/>
          <w:vertAlign w:val="subscript"/>
        </w:rPr>
        <w:t>2017</w:t>
      </w:r>
      <w:r w:rsidRPr="000F0625">
        <w:rPr>
          <w:color w:val="000000" w:themeColor="text1"/>
        </w:rPr>
        <w:t xml:space="preserve">-0.124/pkm is considered to be a shared </w:t>
      </w:r>
      <w:r>
        <w:rPr>
          <w:color w:val="000000" w:themeColor="text1"/>
        </w:rPr>
        <w:t>external</w:t>
      </w:r>
      <w:r w:rsidRPr="000F0625">
        <w:rPr>
          <w:color w:val="000000" w:themeColor="text1"/>
        </w:rPr>
        <w:t xml:space="preserve"> (50%) and </w:t>
      </w:r>
      <w:r>
        <w:rPr>
          <w:color w:val="000000" w:themeColor="text1"/>
        </w:rPr>
        <w:t>private</w:t>
      </w:r>
      <w:r w:rsidRPr="000F0625">
        <w:rPr>
          <w:color w:val="000000" w:themeColor="text1"/>
        </w:rPr>
        <w:t xml:space="preserve"> (50%) benefit. </w:t>
      </w:r>
      <w:r>
        <w:rPr>
          <w:color w:val="000000" w:themeColor="text1"/>
        </w:rPr>
        <w:t>They do</w:t>
      </w:r>
      <w:r w:rsidRPr="000F0625">
        <w:rPr>
          <w:color w:val="000000" w:themeColor="text1"/>
        </w:rPr>
        <w:t xml:space="preserve"> not provide a calculation of prolonged life benefits. More extensive work has been carried out in Denmark, determining benefits from improved health in the order of €</w:t>
      </w:r>
      <w:r w:rsidRPr="000F0625">
        <w:rPr>
          <w:color w:val="000000" w:themeColor="text1"/>
          <w:vertAlign w:val="subscript"/>
        </w:rPr>
        <w:t>2017</w:t>
      </w:r>
      <w:r w:rsidRPr="000F0625">
        <w:rPr>
          <w:color w:val="000000" w:themeColor="text1"/>
        </w:rPr>
        <w:t>-0.223/pkm (private) as well as €</w:t>
      </w:r>
      <w:r w:rsidRPr="000F0625">
        <w:rPr>
          <w:color w:val="000000" w:themeColor="text1"/>
          <w:vertAlign w:val="subscript"/>
        </w:rPr>
        <w:t>2017</w:t>
      </w:r>
      <w:r w:rsidRPr="000F0625">
        <w:rPr>
          <w:color w:val="000000" w:themeColor="text1"/>
        </w:rPr>
        <w:t>-0.321/pkm (</w:t>
      </w:r>
      <w:r>
        <w:rPr>
          <w:color w:val="000000" w:themeColor="text1"/>
        </w:rPr>
        <w:t>external</w:t>
      </w:r>
      <w:r w:rsidRPr="000F0625">
        <w:rPr>
          <w:color w:val="000000" w:themeColor="text1"/>
        </w:rPr>
        <w:t>) (Center for Transport Analytics 2017). Prolonged life benefits amount to €</w:t>
      </w:r>
      <w:r w:rsidRPr="000F0625">
        <w:rPr>
          <w:color w:val="000000" w:themeColor="text1"/>
          <w:vertAlign w:val="subscript"/>
        </w:rPr>
        <w:t>2017</w:t>
      </w:r>
      <w:r w:rsidRPr="000F0625">
        <w:rPr>
          <w:color w:val="000000" w:themeColor="text1"/>
        </w:rPr>
        <w:t xml:space="preserve">-0.534/pkm (private) while the </w:t>
      </w:r>
      <w:r>
        <w:rPr>
          <w:color w:val="000000" w:themeColor="text1"/>
        </w:rPr>
        <w:t>external</w:t>
      </w:r>
      <w:r w:rsidRPr="000F0625">
        <w:rPr>
          <w:color w:val="000000" w:themeColor="text1"/>
        </w:rPr>
        <w:t xml:space="preserve"> cost incurred in greater life expectancy is €</w:t>
      </w:r>
      <w:r w:rsidRPr="000F0625">
        <w:rPr>
          <w:color w:val="000000" w:themeColor="text1"/>
          <w:vertAlign w:val="subscript"/>
        </w:rPr>
        <w:t>2017</w:t>
      </w:r>
      <w:r w:rsidRPr="000F0625">
        <w:rPr>
          <w:color w:val="000000" w:themeColor="text1"/>
        </w:rPr>
        <w:t>0.011/pkm as a result of extended pension payments (ibid.). Danish values are used for calculation, as a ratio of nominal European area GDP (World Bank 2017), resulting in improved health benefits of €</w:t>
      </w:r>
      <w:r w:rsidRPr="000F0625">
        <w:rPr>
          <w:color w:val="000000" w:themeColor="text1"/>
          <w:vertAlign w:val="subscript"/>
        </w:rPr>
        <w:t>2017</w:t>
      </w:r>
      <w:r w:rsidRPr="000F0625">
        <w:rPr>
          <w:color w:val="000000" w:themeColor="text1"/>
        </w:rPr>
        <w:t>-0.193/pkm (</w:t>
      </w:r>
      <w:r>
        <w:rPr>
          <w:color w:val="000000" w:themeColor="text1"/>
        </w:rPr>
        <w:t>external</w:t>
      </w:r>
      <w:r w:rsidRPr="000F0625">
        <w:rPr>
          <w:color w:val="000000" w:themeColor="text1"/>
        </w:rPr>
        <w:t>) and €</w:t>
      </w:r>
      <w:r w:rsidRPr="000F0625">
        <w:rPr>
          <w:color w:val="000000" w:themeColor="text1"/>
          <w:vertAlign w:val="subscript"/>
        </w:rPr>
        <w:t>2017</w:t>
      </w:r>
      <w:r w:rsidRPr="000F0625">
        <w:rPr>
          <w:color w:val="000000" w:themeColor="text1"/>
        </w:rPr>
        <w:t>-0.134/pkm (private), as well as prolonged life effects of €</w:t>
      </w:r>
      <w:r w:rsidRPr="000F0625">
        <w:rPr>
          <w:color w:val="000000" w:themeColor="text1"/>
          <w:vertAlign w:val="subscript"/>
        </w:rPr>
        <w:t>2017</w:t>
      </w:r>
      <w:r w:rsidRPr="000F0625">
        <w:rPr>
          <w:color w:val="000000" w:themeColor="text1"/>
        </w:rPr>
        <w:t>0.007/pkm (</w:t>
      </w:r>
      <w:r>
        <w:rPr>
          <w:color w:val="000000" w:themeColor="text1"/>
        </w:rPr>
        <w:t>external</w:t>
      </w:r>
      <w:r w:rsidRPr="000F0625">
        <w:rPr>
          <w:color w:val="000000" w:themeColor="text1"/>
        </w:rPr>
        <w:t>) and €</w:t>
      </w:r>
      <w:r w:rsidRPr="000F0625">
        <w:rPr>
          <w:color w:val="000000" w:themeColor="text1"/>
          <w:vertAlign w:val="subscript"/>
        </w:rPr>
        <w:t>2017</w:t>
      </w:r>
      <w:r w:rsidRPr="000F0625">
        <w:rPr>
          <w:color w:val="000000" w:themeColor="text1"/>
        </w:rPr>
        <w:t xml:space="preserve">-0.320/pkm (private). Walking effects on health have not been assessed in similar detail, but both </w:t>
      </w:r>
      <w:r>
        <w:rPr>
          <w:color w:val="000000" w:themeColor="text1"/>
        </w:rPr>
        <w:t>Litman and Doherty (2011)</w:t>
      </w:r>
      <w:r w:rsidRPr="000F0625">
        <w:rPr>
          <w:color w:val="000000" w:themeColor="text1"/>
        </w:rPr>
        <w:t xml:space="preserve"> and Realise (2018) consider these to be at least twice as high as the health effects for cycling</w:t>
      </w:r>
      <w:r>
        <w:rPr>
          <w:color w:val="000000" w:themeColor="text1"/>
        </w:rPr>
        <w:t xml:space="preserve"> (Table 12)</w:t>
      </w:r>
      <w:r w:rsidRPr="000F0625">
        <w:rPr>
          <w:color w:val="000000" w:themeColor="text1"/>
        </w:rPr>
        <w:t xml:space="preserve">. </w:t>
      </w:r>
    </w:p>
    <w:p w14:paraId="795ED31C" w14:textId="77777777" w:rsidR="00B428DF" w:rsidRPr="000F0625" w:rsidRDefault="00B428DF" w:rsidP="00B428DF">
      <w:pPr>
        <w:spacing w:line="480" w:lineRule="auto"/>
        <w:outlineLvl w:val="0"/>
        <w:rPr>
          <w:color w:val="000000" w:themeColor="text1"/>
        </w:rPr>
      </w:pPr>
    </w:p>
    <w:p w14:paraId="45D5C5BE" w14:textId="77777777" w:rsidR="00B428DF" w:rsidRPr="000F0625" w:rsidRDefault="00B428DF" w:rsidP="00B428DF">
      <w:pPr>
        <w:spacing w:line="480" w:lineRule="auto"/>
        <w:outlineLvl w:val="0"/>
        <w:rPr>
          <w:b/>
          <w:color w:val="000000" w:themeColor="text1"/>
        </w:rPr>
      </w:pPr>
      <w:r w:rsidRPr="000F0625">
        <w:rPr>
          <w:b/>
          <w:color w:val="000000" w:themeColor="text1"/>
        </w:rPr>
        <w:t>Table 1</w:t>
      </w:r>
      <w:r>
        <w:rPr>
          <w:b/>
          <w:color w:val="000000" w:themeColor="text1"/>
        </w:rPr>
        <w:t>2</w:t>
      </w:r>
      <w:r w:rsidRPr="000F0625">
        <w:rPr>
          <w:b/>
          <w:color w:val="000000" w:themeColor="text1"/>
        </w:rPr>
        <w:t xml:space="preserve">: Health </w:t>
      </w:r>
      <w:r>
        <w:rPr>
          <w:b/>
          <w:color w:val="000000" w:themeColor="text1"/>
        </w:rPr>
        <w:t>costs</w:t>
      </w:r>
      <w:r w:rsidRPr="000F0625">
        <w:rPr>
          <w:b/>
          <w:color w:val="000000" w:themeColor="text1"/>
        </w:rPr>
        <w:t xml:space="preserve"> bicycle</w:t>
      </w:r>
    </w:p>
    <w:tbl>
      <w:tblPr>
        <w:tblStyle w:val="Tabelraster"/>
        <w:tblW w:w="9061" w:type="dxa"/>
        <w:tblInd w:w="108" w:type="dxa"/>
        <w:tblLook w:val="04A0" w:firstRow="1" w:lastRow="0" w:firstColumn="1" w:lastColumn="0" w:noHBand="0" w:noVBand="1"/>
      </w:tblPr>
      <w:tblGrid>
        <w:gridCol w:w="2221"/>
        <w:gridCol w:w="1579"/>
        <w:gridCol w:w="1432"/>
        <w:gridCol w:w="3829"/>
      </w:tblGrid>
      <w:tr w:rsidR="00B428DF" w:rsidRPr="000F0625" w14:paraId="1D3110EA" w14:textId="77777777" w:rsidTr="00080905">
        <w:tc>
          <w:tcPr>
            <w:tcW w:w="2221" w:type="dxa"/>
          </w:tcPr>
          <w:p w14:paraId="350FEB82"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Assessment Bicycle</w:t>
            </w:r>
          </w:p>
        </w:tc>
        <w:tc>
          <w:tcPr>
            <w:tcW w:w="1579" w:type="dxa"/>
          </w:tcPr>
          <w:p w14:paraId="3ECA99C4" w14:textId="77777777" w:rsidR="00B428DF" w:rsidRPr="000F0625" w:rsidRDefault="00B428DF" w:rsidP="00080905">
            <w:pPr>
              <w:spacing w:line="480" w:lineRule="auto"/>
              <w:outlineLvl w:val="0"/>
              <w:rPr>
                <w:b/>
                <w:color w:val="000000" w:themeColor="text1"/>
                <w:lang w:val="en-GB"/>
              </w:rPr>
            </w:pPr>
            <w:r>
              <w:rPr>
                <w:b/>
                <w:color w:val="000000" w:themeColor="text1"/>
                <w:lang w:val="en-GB"/>
              </w:rPr>
              <w:t>Cost external</w:t>
            </w:r>
          </w:p>
        </w:tc>
        <w:tc>
          <w:tcPr>
            <w:tcW w:w="1432" w:type="dxa"/>
          </w:tcPr>
          <w:p w14:paraId="7D79CF3D"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Cost private</w:t>
            </w:r>
          </w:p>
        </w:tc>
        <w:tc>
          <w:tcPr>
            <w:tcW w:w="3829" w:type="dxa"/>
          </w:tcPr>
          <w:p w14:paraId="45104B99"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Reference</w:t>
            </w:r>
          </w:p>
        </w:tc>
      </w:tr>
      <w:tr w:rsidR="00B428DF" w:rsidRPr="000F0625" w14:paraId="341137C8" w14:textId="77777777" w:rsidTr="00080905">
        <w:trPr>
          <w:trHeight w:val="296"/>
        </w:trPr>
        <w:tc>
          <w:tcPr>
            <w:tcW w:w="2221" w:type="dxa"/>
          </w:tcPr>
          <w:p w14:paraId="7E629CCC"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Improved health</w:t>
            </w:r>
          </w:p>
        </w:tc>
        <w:tc>
          <w:tcPr>
            <w:tcW w:w="1579" w:type="dxa"/>
          </w:tcPr>
          <w:p w14:paraId="28263C5E"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€-0.193/pkm</w:t>
            </w:r>
          </w:p>
        </w:tc>
        <w:tc>
          <w:tcPr>
            <w:tcW w:w="1432" w:type="dxa"/>
          </w:tcPr>
          <w:p w14:paraId="5DE6982C"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€-0.134/pkm</w:t>
            </w:r>
          </w:p>
        </w:tc>
        <w:tc>
          <w:tcPr>
            <w:tcW w:w="3829" w:type="dxa"/>
          </w:tcPr>
          <w:p w14:paraId="7268A866"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 xml:space="preserve">Center for Transport Analytics 2017; </w:t>
            </w:r>
            <w:r w:rsidRPr="000D1E01">
              <w:rPr>
                <w:lang w:val="en-US"/>
              </w:rPr>
              <w:t>Litman and Doherty, 2011</w:t>
            </w:r>
          </w:p>
        </w:tc>
      </w:tr>
      <w:tr w:rsidR="00B428DF" w:rsidRPr="000F0625" w14:paraId="24BF8229" w14:textId="77777777" w:rsidTr="00080905">
        <w:trPr>
          <w:trHeight w:val="296"/>
        </w:trPr>
        <w:tc>
          <w:tcPr>
            <w:tcW w:w="2221" w:type="dxa"/>
          </w:tcPr>
          <w:p w14:paraId="1395CEB2"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Prolonged life</w:t>
            </w:r>
          </w:p>
        </w:tc>
        <w:tc>
          <w:tcPr>
            <w:tcW w:w="1579" w:type="dxa"/>
          </w:tcPr>
          <w:p w14:paraId="752750BD"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€0.007/pkm</w:t>
            </w:r>
          </w:p>
        </w:tc>
        <w:tc>
          <w:tcPr>
            <w:tcW w:w="1432" w:type="dxa"/>
          </w:tcPr>
          <w:p w14:paraId="005146D8"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€-0.320/pkm</w:t>
            </w:r>
          </w:p>
        </w:tc>
        <w:tc>
          <w:tcPr>
            <w:tcW w:w="3829" w:type="dxa"/>
          </w:tcPr>
          <w:p w14:paraId="49177A66"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Center for Transport Analytics 2017</w:t>
            </w:r>
          </w:p>
        </w:tc>
      </w:tr>
      <w:tr w:rsidR="00B428DF" w:rsidRPr="000F0625" w14:paraId="1C72022B" w14:textId="77777777" w:rsidTr="00080905">
        <w:tc>
          <w:tcPr>
            <w:tcW w:w="2221" w:type="dxa"/>
          </w:tcPr>
          <w:p w14:paraId="61F11E5B"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Assessment Walking</w:t>
            </w:r>
          </w:p>
        </w:tc>
        <w:tc>
          <w:tcPr>
            <w:tcW w:w="1579" w:type="dxa"/>
          </w:tcPr>
          <w:p w14:paraId="7A26837D" w14:textId="77777777" w:rsidR="00B428DF" w:rsidRPr="000F0625" w:rsidRDefault="00B428DF" w:rsidP="00080905">
            <w:pPr>
              <w:spacing w:line="480" w:lineRule="auto"/>
              <w:outlineLvl w:val="0"/>
              <w:rPr>
                <w:b/>
                <w:color w:val="000000" w:themeColor="text1"/>
                <w:lang w:val="en-GB"/>
              </w:rPr>
            </w:pPr>
            <w:r>
              <w:rPr>
                <w:b/>
                <w:color w:val="000000" w:themeColor="text1"/>
                <w:lang w:val="en-GB"/>
              </w:rPr>
              <w:t>Cost external</w:t>
            </w:r>
          </w:p>
        </w:tc>
        <w:tc>
          <w:tcPr>
            <w:tcW w:w="1432" w:type="dxa"/>
          </w:tcPr>
          <w:p w14:paraId="328F4AF9"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Cost private</w:t>
            </w:r>
          </w:p>
        </w:tc>
        <w:tc>
          <w:tcPr>
            <w:tcW w:w="3829" w:type="dxa"/>
          </w:tcPr>
          <w:p w14:paraId="3E3BEFF9" w14:textId="77777777" w:rsidR="00B428DF" w:rsidRPr="000F0625" w:rsidRDefault="00B428DF" w:rsidP="00080905">
            <w:pPr>
              <w:spacing w:line="480" w:lineRule="auto"/>
              <w:outlineLvl w:val="0"/>
              <w:rPr>
                <w:b/>
                <w:color w:val="000000" w:themeColor="text1"/>
                <w:lang w:val="en-GB"/>
              </w:rPr>
            </w:pPr>
            <w:r w:rsidRPr="000F0625">
              <w:rPr>
                <w:b/>
                <w:color w:val="000000" w:themeColor="text1"/>
                <w:lang w:val="en-GB"/>
              </w:rPr>
              <w:t>Reference</w:t>
            </w:r>
          </w:p>
        </w:tc>
      </w:tr>
      <w:tr w:rsidR="00B428DF" w:rsidRPr="000F0625" w14:paraId="40864148" w14:textId="77777777" w:rsidTr="00080905">
        <w:trPr>
          <w:trHeight w:val="296"/>
        </w:trPr>
        <w:tc>
          <w:tcPr>
            <w:tcW w:w="2221" w:type="dxa"/>
          </w:tcPr>
          <w:p w14:paraId="5CC9F5E0"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Improved health</w:t>
            </w:r>
          </w:p>
        </w:tc>
        <w:tc>
          <w:tcPr>
            <w:tcW w:w="1579" w:type="dxa"/>
          </w:tcPr>
          <w:p w14:paraId="4AEA6C70"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€-0.386/pkm</w:t>
            </w:r>
          </w:p>
        </w:tc>
        <w:tc>
          <w:tcPr>
            <w:tcW w:w="1432" w:type="dxa"/>
          </w:tcPr>
          <w:p w14:paraId="1E4EEB44"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€-0.268/pkm</w:t>
            </w:r>
          </w:p>
        </w:tc>
        <w:tc>
          <w:tcPr>
            <w:tcW w:w="3829" w:type="dxa"/>
          </w:tcPr>
          <w:p w14:paraId="54A45CBA" w14:textId="77777777" w:rsidR="00B428DF" w:rsidRPr="000D1E01" w:rsidRDefault="00B428DF" w:rsidP="00080905">
            <w:pPr>
              <w:spacing w:line="480" w:lineRule="auto"/>
              <w:outlineLvl w:val="0"/>
              <w:rPr>
                <w:color w:val="000000" w:themeColor="text1"/>
                <w:lang w:val="en-US"/>
              </w:rPr>
            </w:pPr>
            <w:r w:rsidRPr="000F0625">
              <w:rPr>
                <w:color w:val="000000" w:themeColor="text1"/>
                <w:lang w:val="en-GB"/>
              </w:rPr>
              <w:t xml:space="preserve">Center for Transport Analytics 2017; </w:t>
            </w:r>
            <w:r w:rsidRPr="000D1E01">
              <w:rPr>
                <w:lang w:val="en-US"/>
              </w:rPr>
              <w:t>Litman and Doherty, 2011</w:t>
            </w:r>
          </w:p>
        </w:tc>
      </w:tr>
      <w:tr w:rsidR="00B428DF" w:rsidRPr="000F0625" w14:paraId="5643564C" w14:textId="77777777" w:rsidTr="00080905">
        <w:trPr>
          <w:trHeight w:val="296"/>
        </w:trPr>
        <w:tc>
          <w:tcPr>
            <w:tcW w:w="2221" w:type="dxa"/>
          </w:tcPr>
          <w:p w14:paraId="79834EB4"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Prolonged life</w:t>
            </w:r>
          </w:p>
        </w:tc>
        <w:tc>
          <w:tcPr>
            <w:tcW w:w="1579" w:type="dxa"/>
          </w:tcPr>
          <w:p w14:paraId="3D6F50A4"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€0.014/pkm</w:t>
            </w:r>
          </w:p>
        </w:tc>
        <w:tc>
          <w:tcPr>
            <w:tcW w:w="1432" w:type="dxa"/>
          </w:tcPr>
          <w:p w14:paraId="72758A27"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€-0.640/pkm</w:t>
            </w:r>
          </w:p>
        </w:tc>
        <w:tc>
          <w:tcPr>
            <w:tcW w:w="3829" w:type="dxa"/>
          </w:tcPr>
          <w:p w14:paraId="2241ED8F" w14:textId="77777777" w:rsidR="00B428DF" w:rsidRPr="000F0625" w:rsidRDefault="00B428DF" w:rsidP="00080905">
            <w:pPr>
              <w:spacing w:line="480" w:lineRule="auto"/>
              <w:outlineLvl w:val="0"/>
              <w:rPr>
                <w:color w:val="000000" w:themeColor="text1"/>
                <w:lang w:val="en-GB"/>
              </w:rPr>
            </w:pPr>
            <w:r w:rsidRPr="000F0625">
              <w:rPr>
                <w:color w:val="000000" w:themeColor="text1"/>
                <w:lang w:val="en-GB"/>
              </w:rPr>
              <w:t>Center for Transport Analytics 2017</w:t>
            </w:r>
          </w:p>
        </w:tc>
      </w:tr>
    </w:tbl>
    <w:p w14:paraId="70528928" w14:textId="77777777" w:rsidR="00B428DF" w:rsidRPr="000F0625" w:rsidRDefault="00B428DF" w:rsidP="00B428DF">
      <w:pPr>
        <w:spacing w:line="480" w:lineRule="auto"/>
        <w:outlineLvl w:val="0"/>
        <w:rPr>
          <w:color w:val="000000" w:themeColor="text1"/>
        </w:rPr>
      </w:pPr>
    </w:p>
    <w:p w14:paraId="2964C4C9"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Accidents (collisions)</w:t>
      </w:r>
    </w:p>
    <w:p w14:paraId="19DE133C" w14:textId="77777777" w:rsidR="00B428DF" w:rsidRPr="000F0625" w:rsidRDefault="00B428DF" w:rsidP="00B428DF">
      <w:pPr>
        <w:spacing w:line="480" w:lineRule="auto"/>
        <w:jc w:val="both"/>
      </w:pPr>
      <w:r w:rsidRPr="000F0625">
        <w:t>The most significant cost of traffic collisions is associated with fatal accidents. The EPA recommends that a statistical life be valued at US$</w:t>
      </w:r>
      <w:r w:rsidRPr="000F0625">
        <w:rPr>
          <w:vertAlign w:val="subscript"/>
        </w:rPr>
        <w:t>2008</w:t>
      </w:r>
      <w:r w:rsidRPr="000F0625">
        <w:t>$7.9 million or €</w:t>
      </w:r>
      <w:r w:rsidRPr="000F0625">
        <w:rPr>
          <w:vertAlign w:val="subscript"/>
        </w:rPr>
        <w:t>2017</w:t>
      </w:r>
      <w:r w:rsidRPr="000F0625">
        <w:t xml:space="preserve">$8.3 million, and </w:t>
      </w:r>
      <w:r>
        <w:t>that</w:t>
      </w:r>
      <w:r w:rsidRPr="000F0625">
        <w:t xml:space="preserve"> “analyses </w:t>
      </w:r>
      <w:r>
        <w:t>[…]</w:t>
      </w:r>
      <w:r w:rsidRPr="000F0625">
        <w:t xml:space="preserve"> quantify mortality risk reduction benefits regardless of the age, income, or other population characteristics of the affected population” (EPA 2017:  no page). In comparison, </w:t>
      </w:r>
      <w:r w:rsidRPr="000F0625">
        <w:rPr>
          <w:bCs/>
        </w:rPr>
        <w:t>Korzhenevych et al. (2014) suggest a value of €</w:t>
      </w:r>
      <w:r w:rsidRPr="000F0625">
        <w:rPr>
          <w:vertAlign w:val="subscript"/>
        </w:rPr>
        <w:t>2010</w:t>
      </w:r>
      <w:r w:rsidRPr="000F0625">
        <w:rPr>
          <w:bCs/>
        </w:rPr>
        <w:t xml:space="preserve">1.87 million </w:t>
      </w:r>
      <w:r w:rsidRPr="000F0625">
        <w:t>per traffic fatality</w:t>
      </w:r>
      <w:r w:rsidRPr="000F0625">
        <w:rPr>
          <w:bCs/>
        </w:rPr>
        <w:t xml:space="preserve"> (EU28), as well as</w:t>
      </w:r>
      <w:r w:rsidRPr="000F0625">
        <w:t xml:space="preserve"> €</w:t>
      </w:r>
      <w:r w:rsidRPr="000F0625">
        <w:rPr>
          <w:vertAlign w:val="subscript"/>
        </w:rPr>
        <w:t>2010</w:t>
      </w:r>
      <w:r w:rsidRPr="000F0625">
        <w:t>243,000 per injury, and €</w:t>
      </w:r>
      <w:r w:rsidRPr="000F0625">
        <w:rPr>
          <w:vertAlign w:val="subscript"/>
        </w:rPr>
        <w:t>2010</w:t>
      </w:r>
      <w:r w:rsidRPr="000F0625">
        <w:t xml:space="preserve">18,700 per slight injury (including direct and indirect economic costs). These translate into </w:t>
      </w:r>
      <w:r>
        <w:t xml:space="preserve">a </w:t>
      </w:r>
      <w:r w:rsidRPr="000F0625">
        <w:t>car accident cost of €</w:t>
      </w:r>
      <w:r w:rsidRPr="000F0625">
        <w:rPr>
          <w:vertAlign w:val="subscript"/>
        </w:rPr>
        <w:t>2010</w:t>
      </w:r>
      <w:r w:rsidRPr="000F0625">
        <w:t>0.002/pkm for the EU28 (</w:t>
      </w:r>
      <w:r>
        <w:t xml:space="preserve">average value; </w:t>
      </w:r>
      <w:r w:rsidRPr="000F0625">
        <w:t>K</w:t>
      </w:r>
      <w:r w:rsidRPr="000F0625">
        <w:rPr>
          <w:bCs/>
        </w:rPr>
        <w:t>orzhenevych et al. 2014</w:t>
      </w:r>
      <w:r w:rsidRPr="000F0625">
        <w:t>). This value is low as car accident damages will be largely covered by insuranc</w:t>
      </w:r>
      <w:r>
        <w:t>e</w:t>
      </w:r>
      <w:r w:rsidRPr="000F0625">
        <w:t xml:space="preserve">. Detailed national studies arrive at higher costs. </w:t>
      </w:r>
      <w:r>
        <w:t xml:space="preserve">Litman and Doherty </w:t>
      </w:r>
      <w:r w:rsidRPr="000F0625">
        <w:t>(201</w:t>
      </w:r>
      <w:r>
        <w:t>1</w:t>
      </w:r>
      <w:r w:rsidRPr="000F0625">
        <w:t xml:space="preserve">) estimate that 37% of </w:t>
      </w:r>
      <w:r>
        <w:t xml:space="preserve">the </w:t>
      </w:r>
      <w:r w:rsidRPr="000F0625">
        <w:t>crash cost are not covered by insurance</w:t>
      </w:r>
      <w:r>
        <w:t xml:space="preserve"> in Canada</w:t>
      </w:r>
      <w:r w:rsidRPr="000F0625">
        <w:t>, and suggest</w:t>
      </w:r>
      <w:r>
        <w:t xml:space="preserve"> an</w:t>
      </w:r>
      <w:r w:rsidRPr="000F0625">
        <w:t xml:space="preserve"> </w:t>
      </w:r>
      <w:r>
        <w:t>external</w:t>
      </w:r>
      <w:r w:rsidRPr="000F0625">
        <w:t xml:space="preserve"> cost of €</w:t>
      </w:r>
      <w:r w:rsidRPr="000F0625">
        <w:rPr>
          <w:vertAlign w:val="subscript"/>
        </w:rPr>
        <w:t>2017</w:t>
      </w:r>
      <w:r w:rsidRPr="000F0625">
        <w:t>0.041/pkm (car) and €</w:t>
      </w:r>
      <w:r w:rsidRPr="000F0625">
        <w:rPr>
          <w:vertAlign w:val="subscript"/>
        </w:rPr>
        <w:t>2017</w:t>
      </w:r>
      <w:r w:rsidRPr="000F0625">
        <w:t xml:space="preserve">0.001/pkm (bicycle) as well as </w:t>
      </w:r>
      <w:r>
        <w:t xml:space="preserve">a </w:t>
      </w:r>
      <w:r w:rsidRPr="000F0625">
        <w:t>private cost of €</w:t>
      </w:r>
      <w:r w:rsidRPr="000F0625">
        <w:rPr>
          <w:vertAlign w:val="subscript"/>
        </w:rPr>
        <w:t>2017</w:t>
      </w:r>
      <w:r w:rsidRPr="000F0625">
        <w:t>0.054/pkm (car/bicycle). For the European area, the lower estimate by K</w:t>
      </w:r>
      <w:r w:rsidRPr="000F0625">
        <w:rPr>
          <w:bCs/>
        </w:rPr>
        <w:t>orzhenevych et al. (2014) is used for cars. Notably, this omits the private cost of pain, grief and trauma, i.e. aspects not covered by insurances. For bicycles</w:t>
      </w:r>
      <w:r>
        <w:rPr>
          <w:bCs/>
        </w:rPr>
        <w:t xml:space="preserve"> and walking</w:t>
      </w:r>
      <w:r w:rsidRPr="000F0625">
        <w:rPr>
          <w:bCs/>
        </w:rPr>
        <w:t xml:space="preserve">, </w:t>
      </w:r>
      <w:r>
        <w:rPr>
          <w:bCs/>
        </w:rPr>
        <w:lastRenderedPageBreak/>
        <w:t>Litman and Doherty (2011)</w:t>
      </w:r>
      <w:r w:rsidRPr="000F0625">
        <w:rPr>
          <w:bCs/>
        </w:rPr>
        <w:t xml:space="preserve"> values are used, as these represent </w:t>
      </w:r>
      <w:r>
        <w:rPr>
          <w:bCs/>
        </w:rPr>
        <w:t xml:space="preserve">a private </w:t>
      </w:r>
      <w:r w:rsidRPr="000F0625">
        <w:rPr>
          <w:bCs/>
        </w:rPr>
        <w:t>cost not n</w:t>
      </w:r>
      <w:r>
        <w:rPr>
          <w:bCs/>
        </w:rPr>
        <w:t>ecessarily covered by insurance. The resulting</w:t>
      </w:r>
      <w:r>
        <w:t xml:space="preserve"> crash cost is </w:t>
      </w:r>
      <w:r w:rsidRPr="000F0625">
        <w:t>€</w:t>
      </w:r>
      <w:r w:rsidRPr="000F0625">
        <w:rPr>
          <w:vertAlign w:val="subscript"/>
        </w:rPr>
        <w:t>2017</w:t>
      </w:r>
      <w:r w:rsidRPr="000F0625">
        <w:t>0.0</w:t>
      </w:r>
      <w:r>
        <w:t>85</w:t>
      </w:r>
      <w:r w:rsidRPr="000F0625">
        <w:t>/pkm</w:t>
      </w:r>
      <w:r>
        <w:t xml:space="preserve"> (external</w:t>
      </w:r>
      <w:r w:rsidRPr="000F0625">
        <w:t>) and €</w:t>
      </w:r>
      <w:r w:rsidRPr="000F0625">
        <w:rPr>
          <w:vertAlign w:val="subscript"/>
        </w:rPr>
        <w:t>2017</w:t>
      </w:r>
      <w:r w:rsidRPr="000F0625">
        <w:t>0.0</w:t>
      </w:r>
      <w:r>
        <w:t>85</w:t>
      </w:r>
      <w:r w:rsidRPr="000F0625">
        <w:t>/pkm (private).</w:t>
      </w:r>
      <w:r>
        <w:t xml:space="preserve"> These v</w:t>
      </w:r>
      <w:r w:rsidRPr="000F0625">
        <w:t>alues are adjusted t</w:t>
      </w:r>
      <w:r>
        <w:t xml:space="preserve">o European area GDP (Table 13). </w:t>
      </w:r>
    </w:p>
    <w:p w14:paraId="7794B1D2" w14:textId="77777777" w:rsidR="00B428DF" w:rsidRPr="000F0625" w:rsidRDefault="00B428DF" w:rsidP="00B428DF">
      <w:pPr>
        <w:pStyle w:val="Lijstalinea"/>
        <w:spacing w:line="480" w:lineRule="auto"/>
        <w:ind w:left="360"/>
        <w:jc w:val="both"/>
        <w:rPr>
          <w:rFonts w:ascii="Times New Roman" w:hAnsi="Times New Roman" w:cs="Times New Roman"/>
        </w:rPr>
      </w:pPr>
    </w:p>
    <w:p w14:paraId="1E76BB01" w14:textId="77777777" w:rsidR="00B428DF" w:rsidRPr="000F0625" w:rsidRDefault="00B428DF" w:rsidP="00B428DF">
      <w:pPr>
        <w:spacing w:line="480" w:lineRule="auto"/>
        <w:rPr>
          <w:b/>
        </w:rPr>
      </w:pPr>
      <w:r w:rsidRPr="000F0625">
        <w:rPr>
          <w:b/>
        </w:rPr>
        <w:t>Table 1</w:t>
      </w:r>
      <w:r>
        <w:rPr>
          <w:b/>
        </w:rPr>
        <w:t>3</w:t>
      </w:r>
      <w:r w:rsidRPr="000F0625">
        <w:rPr>
          <w:b/>
        </w:rPr>
        <w:t>: Accident costs</w:t>
      </w:r>
    </w:p>
    <w:tbl>
      <w:tblPr>
        <w:tblStyle w:val="Tabelraster"/>
        <w:tblW w:w="0" w:type="auto"/>
        <w:tblInd w:w="108" w:type="dxa"/>
        <w:tblLook w:val="04A0" w:firstRow="1" w:lastRow="0" w:firstColumn="1" w:lastColumn="0" w:noHBand="0" w:noVBand="1"/>
      </w:tblPr>
      <w:tblGrid>
        <w:gridCol w:w="2236"/>
        <w:gridCol w:w="1678"/>
        <w:gridCol w:w="1716"/>
        <w:gridCol w:w="3332"/>
      </w:tblGrid>
      <w:tr w:rsidR="00B428DF" w:rsidRPr="000F0625" w14:paraId="72B472FD" w14:textId="77777777" w:rsidTr="00080905">
        <w:tc>
          <w:tcPr>
            <w:tcW w:w="2236" w:type="dxa"/>
          </w:tcPr>
          <w:p w14:paraId="4BF0D6A0" w14:textId="77777777" w:rsidR="00B428DF" w:rsidRPr="000F0625" w:rsidRDefault="00B428DF" w:rsidP="00080905">
            <w:pPr>
              <w:spacing w:line="480" w:lineRule="auto"/>
              <w:jc w:val="both"/>
              <w:rPr>
                <w:b/>
                <w:lang w:val="en-GB"/>
              </w:rPr>
            </w:pPr>
            <w:r w:rsidRPr="000F0625">
              <w:rPr>
                <w:b/>
                <w:lang w:val="en-GB"/>
              </w:rPr>
              <w:t>Assessment Car</w:t>
            </w:r>
          </w:p>
        </w:tc>
        <w:tc>
          <w:tcPr>
            <w:tcW w:w="1664" w:type="dxa"/>
          </w:tcPr>
          <w:p w14:paraId="716699FB" w14:textId="77777777" w:rsidR="00B428DF" w:rsidRPr="000F0625" w:rsidRDefault="00B428DF" w:rsidP="00080905">
            <w:pPr>
              <w:spacing w:line="480" w:lineRule="auto"/>
              <w:jc w:val="both"/>
              <w:rPr>
                <w:b/>
                <w:lang w:val="en-GB"/>
              </w:rPr>
            </w:pPr>
            <w:r>
              <w:rPr>
                <w:b/>
                <w:lang w:val="en-GB"/>
              </w:rPr>
              <w:t>Cost external</w:t>
            </w:r>
          </w:p>
        </w:tc>
        <w:tc>
          <w:tcPr>
            <w:tcW w:w="1716" w:type="dxa"/>
          </w:tcPr>
          <w:p w14:paraId="082E1491" w14:textId="77777777" w:rsidR="00B428DF" w:rsidRPr="000F0625" w:rsidRDefault="00B428DF" w:rsidP="00080905">
            <w:pPr>
              <w:spacing w:line="480" w:lineRule="auto"/>
              <w:jc w:val="both"/>
              <w:rPr>
                <w:b/>
                <w:lang w:val="en-GB"/>
              </w:rPr>
            </w:pPr>
            <w:r w:rsidRPr="000F0625">
              <w:rPr>
                <w:b/>
                <w:lang w:val="en-GB"/>
              </w:rPr>
              <w:t>Cost private</w:t>
            </w:r>
          </w:p>
        </w:tc>
        <w:tc>
          <w:tcPr>
            <w:tcW w:w="3332" w:type="dxa"/>
          </w:tcPr>
          <w:p w14:paraId="6AD7C52E"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1FC9157E" w14:textId="77777777" w:rsidTr="00080905">
        <w:trPr>
          <w:trHeight w:val="296"/>
        </w:trPr>
        <w:tc>
          <w:tcPr>
            <w:tcW w:w="2236" w:type="dxa"/>
          </w:tcPr>
          <w:p w14:paraId="0FAC48BA" w14:textId="77777777" w:rsidR="00B428DF" w:rsidRPr="000F0625" w:rsidRDefault="00B428DF" w:rsidP="00080905">
            <w:pPr>
              <w:spacing w:line="480" w:lineRule="auto"/>
              <w:rPr>
                <w:lang w:val="en-GB"/>
              </w:rPr>
            </w:pPr>
            <w:r w:rsidRPr="000F0625">
              <w:rPr>
                <w:lang w:val="en-GB"/>
              </w:rPr>
              <w:t>Collisions/crashes</w:t>
            </w:r>
          </w:p>
        </w:tc>
        <w:tc>
          <w:tcPr>
            <w:tcW w:w="1664" w:type="dxa"/>
          </w:tcPr>
          <w:p w14:paraId="5F6EC1F0"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0.00</w:t>
            </w:r>
            <w:r>
              <w:rPr>
                <w:lang w:val="en-GB"/>
              </w:rPr>
              <w:t>2</w:t>
            </w:r>
            <w:r w:rsidRPr="000F0625">
              <w:rPr>
                <w:lang w:val="en-GB"/>
              </w:rPr>
              <w:t>/pkm</w:t>
            </w:r>
          </w:p>
        </w:tc>
        <w:tc>
          <w:tcPr>
            <w:tcW w:w="1716" w:type="dxa"/>
          </w:tcPr>
          <w:p w14:paraId="37130122" w14:textId="77777777" w:rsidR="00B428DF" w:rsidRPr="000F0625" w:rsidRDefault="00B428DF" w:rsidP="00080905">
            <w:pPr>
              <w:spacing w:line="480" w:lineRule="auto"/>
              <w:jc w:val="right"/>
              <w:rPr>
                <w:lang w:val="en-GB"/>
              </w:rPr>
            </w:pPr>
            <w:r w:rsidRPr="000F0625">
              <w:rPr>
                <w:lang w:val="en-GB"/>
              </w:rPr>
              <w:t>?</w:t>
            </w:r>
          </w:p>
        </w:tc>
        <w:tc>
          <w:tcPr>
            <w:tcW w:w="3332" w:type="dxa"/>
          </w:tcPr>
          <w:p w14:paraId="6F1F533C" w14:textId="77777777" w:rsidR="00B428DF" w:rsidRPr="000F0625" w:rsidRDefault="00B428DF" w:rsidP="00080905">
            <w:pPr>
              <w:spacing w:line="480" w:lineRule="auto"/>
              <w:jc w:val="both"/>
              <w:rPr>
                <w:lang w:val="en-GB"/>
              </w:rPr>
            </w:pPr>
            <w:r w:rsidRPr="000F0625">
              <w:rPr>
                <w:lang w:val="en-GB"/>
              </w:rPr>
              <w:t>K</w:t>
            </w:r>
            <w:r w:rsidRPr="000F0625">
              <w:rPr>
                <w:bCs/>
                <w:lang w:val="en-GB"/>
              </w:rPr>
              <w:t>orzhenevych et al.</w:t>
            </w:r>
            <w:r>
              <w:rPr>
                <w:bCs/>
                <w:lang w:val="en-GB"/>
              </w:rPr>
              <w:t>,</w:t>
            </w:r>
            <w:r w:rsidRPr="000F0625">
              <w:rPr>
                <w:bCs/>
                <w:lang w:val="en-GB"/>
              </w:rPr>
              <w:t xml:space="preserve"> 2014</w:t>
            </w:r>
          </w:p>
        </w:tc>
      </w:tr>
      <w:tr w:rsidR="00B428DF" w:rsidRPr="000F0625" w14:paraId="1F37038B" w14:textId="77777777" w:rsidTr="00080905">
        <w:tc>
          <w:tcPr>
            <w:tcW w:w="2236" w:type="dxa"/>
          </w:tcPr>
          <w:p w14:paraId="004A3D72" w14:textId="77777777" w:rsidR="00B428DF" w:rsidRPr="000F0625" w:rsidRDefault="00B428DF" w:rsidP="00080905">
            <w:pPr>
              <w:spacing w:line="480" w:lineRule="auto"/>
              <w:jc w:val="both"/>
              <w:rPr>
                <w:b/>
                <w:lang w:val="en-GB"/>
              </w:rPr>
            </w:pPr>
            <w:r w:rsidRPr="000F0625">
              <w:rPr>
                <w:b/>
                <w:lang w:val="en-GB"/>
              </w:rPr>
              <w:t>Assessment Bicycle</w:t>
            </w:r>
          </w:p>
        </w:tc>
        <w:tc>
          <w:tcPr>
            <w:tcW w:w="1664" w:type="dxa"/>
          </w:tcPr>
          <w:p w14:paraId="3B23FA82" w14:textId="77777777" w:rsidR="00B428DF" w:rsidRPr="000F0625" w:rsidRDefault="00B428DF" w:rsidP="00080905">
            <w:pPr>
              <w:spacing w:line="480" w:lineRule="auto"/>
              <w:jc w:val="both"/>
              <w:rPr>
                <w:b/>
                <w:lang w:val="en-GB"/>
              </w:rPr>
            </w:pPr>
            <w:r>
              <w:rPr>
                <w:b/>
                <w:lang w:val="en-GB"/>
              </w:rPr>
              <w:t>Cost external</w:t>
            </w:r>
          </w:p>
        </w:tc>
        <w:tc>
          <w:tcPr>
            <w:tcW w:w="1716" w:type="dxa"/>
          </w:tcPr>
          <w:p w14:paraId="6E4E1AA0" w14:textId="77777777" w:rsidR="00B428DF" w:rsidRPr="000F0625" w:rsidRDefault="00B428DF" w:rsidP="00080905">
            <w:pPr>
              <w:spacing w:line="480" w:lineRule="auto"/>
              <w:jc w:val="both"/>
              <w:rPr>
                <w:b/>
                <w:lang w:val="en-GB"/>
              </w:rPr>
            </w:pPr>
            <w:r w:rsidRPr="000F0625">
              <w:rPr>
                <w:b/>
                <w:lang w:val="en-GB"/>
              </w:rPr>
              <w:t>Cost private</w:t>
            </w:r>
          </w:p>
        </w:tc>
        <w:tc>
          <w:tcPr>
            <w:tcW w:w="3332" w:type="dxa"/>
          </w:tcPr>
          <w:p w14:paraId="45606CB4"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694D9D38" w14:textId="77777777" w:rsidTr="00080905">
        <w:trPr>
          <w:trHeight w:val="296"/>
        </w:trPr>
        <w:tc>
          <w:tcPr>
            <w:tcW w:w="2236" w:type="dxa"/>
          </w:tcPr>
          <w:p w14:paraId="1C8FB048" w14:textId="77777777" w:rsidR="00B428DF" w:rsidRPr="000F0625" w:rsidRDefault="00B428DF" w:rsidP="00080905">
            <w:pPr>
              <w:spacing w:line="480" w:lineRule="auto"/>
              <w:rPr>
                <w:lang w:val="en-GB"/>
              </w:rPr>
            </w:pPr>
            <w:r w:rsidRPr="000F0625">
              <w:rPr>
                <w:lang w:val="en-GB"/>
              </w:rPr>
              <w:t>Collisions/crashes</w:t>
            </w:r>
          </w:p>
        </w:tc>
        <w:tc>
          <w:tcPr>
            <w:tcW w:w="1664" w:type="dxa"/>
          </w:tcPr>
          <w:p w14:paraId="4F6A8A41" w14:textId="77777777" w:rsidR="00B428DF" w:rsidRPr="000F0625" w:rsidRDefault="00B428DF" w:rsidP="00080905">
            <w:pPr>
              <w:spacing w:line="480" w:lineRule="auto"/>
              <w:jc w:val="right"/>
              <w:rPr>
                <w:lang w:val="en-GB"/>
              </w:rPr>
            </w:pPr>
            <w:r w:rsidRPr="000F0625">
              <w:rPr>
                <w:lang w:val="en-GB"/>
              </w:rPr>
              <w:t>&lt;€</w:t>
            </w:r>
            <w:r w:rsidRPr="000F0625">
              <w:rPr>
                <w:vertAlign w:val="subscript"/>
                <w:lang w:val="en-GB"/>
              </w:rPr>
              <w:t>2017</w:t>
            </w:r>
            <w:r w:rsidRPr="000F0625">
              <w:rPr>
                <w:lang w:val="en-GB"/>
              </w:rPr>
              <w:t>0.0</w:t>
            </w:r>
            <w:r>
              <w:rPr>
                <w:lang w:val="en-GB"/>
              </w:rPr>
              <w:t>01</w:t>
            </w:r>
            <w:r w:rsidRPr="000F0625">
              <w:rPr>
                <w:lang w:val="en-GB"/>
              </w:rPr>
              <w:t>/pkm</w:t>
            </w:r>
          </w:p>
        </w:tc>
        <w:tc>
          <w:tcPr>
            <w:tcW w:w="1716" w:type="dxa"/>
          </w:tcPr>
          <w:p w14:paraId="4546C01F"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0.0</w:t>
            </w:r>
            <w:r>
              <w:rPr>
                <w:lang w:val="en-GB"/>
              </w:rPr>
              <w:t>66</w:t>
            </w:r>
            <w:r w:rsidRPr="000F0625">
              <w:rPr>
                <w:lang w:val="en-GB"/>
              </w:rPr>
              <w:t>/pkm</w:t>
            </w:r>
          </w:p>
        </w:tc>
        <w:tc>
          <w:tcPr>
            <w:tcW w:w="3332" w:type="dxa"/>
          </w:tcPr>
          <w:p w14:paraId="46453D4D" w14:textId="77777777" w:rsidR="00B428DF" w:rsidRPr="000F0625" w:rsidRDefault="00B428DF" w:rsidP="00080905">
            <w:pPr>
              <w:spacing w:line="480" w:lineRule="auto"/>
              <w:jc w:val="both"/>
              <w:rPr>
                <w:lang w:val="en-GB"/>
              </w:rPr>
            </w:pPr>
            <w:r>
              <w:t>Litman and Doherty, 2011</w:t>
            </w:r>
          </w:p>
        </w:tc>
      </w:tr>
      <w:tr w:rsidR="00B428DF" w:rsidRPr="000F0625" w14:paraId="426B4E14" w14:textId="77777777" w:rsidTr="00080905">
        <w:tc>
          <w:tcPr>
            <w:tcW w:w="2236" w:type="dxa"/>
          </w:tcPr>
          <w:p w14:paraId="61955CE9" w14:textId="77777777" w:rsidR="00B428DF" w:rsidRPr="000F0625" w:rsidRDefault="00B428DF" w:rsidP="00080905">
            <w:pPr>
              <w:spacing w:line="480" w:lineRule="auto"/>
              <w:jc w:val="both"/>
              <w:rPr>
                <w:b/>
                <w:lang w:val="en-GB"/>
              </w:rPr>
            </w:pPr>
            <w:r w:rsidRPr="000F0625">
              <w:rPr>
                <w:b/>
                <w:lang w:val="en-GB"/>
              </w:rPr>
              <w:t xml:space="preserve">Assessment </w:t>
            </w:r>
            <w:r>
              <w:rPr>
                <w:b/>
                <w:lang w:val="en-GB"/>
              </w:rPr>
              <w:t>Walking</w:t>
            </w:r>
          </w:p>
        </w:tc>
        <w:tc>
          <w:tcPr>
            <w:tcW w:w="1664" w:type="dxa"/>
          </w:tcPr>
          <w:p w14:paraId="3A1A423E" w14:textId="77777777" w:rsidR="00B428DF" w:rsidRPr="000F0625" w:rsidRDefault="00B428DF" w:rsidP="00080905">
            <w:pPr>
              <w:spacing w:line="480" w:lineRule="auto"/>
              <w:jc w:val="both"/>
              <w:rPr>
                <w:b/>
                <w:lang w:val="en-GB"/>
              </w:rPr>
            </w:pPr>
            <w:r>
              <w:rPr>
                <w:b/>
                <w:lang w:val="en-GB"/>
              </w:rPr>
              <w:t>Cost external</w:t>
            </w:r>
          </w:p>
        </w:tc>
        <w:tc>
          <w:tcPr>
            <w:tcW w:w="1716" w:type="dxa"/>
          </w:tcPr>
          <w:p w14:paraId="1C6C1812" w14:textId="77777777" w:rsidR="00B428DF" w:rsidRPr="000F0625" w:rsidRDefault="00B428DF" w:rsidP="00080905">
            <w:pPr>
              <w:spacing w:line="480" w:lineRule="auto"/>
              <w:jc w:val="both"/>
              <w:rPr>
                <w:b/>
                <w:lang w:val="en-GB"/>
              </w:rPr>
            </w:pPr>
            <w:r w:rsidRPr="000F0625">
              <w:rPr>
                <w:b/>
                <w:lang w:val="en-GB"/>
              </w:rPr>
              <w:t>Cost private</w:t>
            </w:r>
          </w:p>
        </w:tc>
        <w:tc>
          <w:tcPr>
            <w:tcW w:w="3332" w:type="dxa"/>
          </w:tcPr>
          <w:p w14:paraId="79E43251" w14:textId="77777777" w:rsidR="00B428DF" w:rsidRPr="000F0625" w:rsidRDefault="00B428DF" w:rsidP="00080905">
            <w:pPr>
              <w:spacing w:line="480" w:lineRule="auto"/>
              <w:jc w:val="both"/>
              <w:rPr>
                <w:b/>
                <w:lang w:val="en-GB"/>
              </w:rPr>
            </w:pPr>
            <w:r w:rsidRPr="000F0625">
              <w:rPr>
                <w:b/>
                <w:lang w:val="en-GB"/>
              </w:rPr>
              <w:t>Reference</w:t>
            </w:r>
          </w:p>
        </w:tc>
      </w:tr>
      <w:tr w:rsidR="00B428DF" w:rsidRPr="000F0625" w14:paraId="052977DE" w14:textId="77777777" w:rsidTr="00080905">
        <w:trPr>
          <w:trHeight w:val="296"/>
        </w:trPr>
        <w:tc>
          <w:tcPr>
            <w:tcW w:w="2236" w:type="dxa"/>
          </w:tcPr>
          <w:p w14:paraId="299F2A76" w14:textId="77777777" w:rsidR="00B428DF" w:rsidRPr="000F0625" w:rsidRDefault="00B428DF" w:rsidP="00080905">
            <w:pPr>
              <w:spacing w:line="480" w:lineRule="auto"/>
              <w:rPr>
                <w:lang w:val="en-GB"/>
              </w:rPr>
            </w:pPr>
            <w:r w:rsidRPr="000F0625">
              <w:rPr>
                <w:lang w:val="en-GB"/>
              </w:rPr>
              <w:t>Collisions/crashes</w:t>
            </w:r>
          </w:p>
        </w:tc>
        <w:tc>
          <w:tcPr>
            <w:tcW w:w="1664" w:type="dxa"/>
          </w:tcPr>
          <w:p w14:paraId="5A2CB87F" w14:textId="77777777" w:rsidR="00B428DF" w:rsidRPr="000F0625" w:rsidRDefault="00B428DF" w:rsidP="00080905">
            <w:pPr>
              <w:spacing w:line="480" w:lineRule="auto"/>
              <w:jc w:val="right"/>
              <w:rPr>
                <w:lang w:val="en-GB"/>
              </w:rPr>
            </w:pPr>
            <w:r w:rsidRPr="000F0625">
              <w:rPr>
                <w:lang w:val="en-GB"/>
              </w:rPr>
              <w:t>&lt;€</w:t>
            </w:r>
            <w:r w:rsidRPr="000F0625">
              <w:rPr>
                <w:vertAlign w:val="subscript"/>
                <w:lang w:val="en-GB"/>
              </w:rPr>
              <w:t>2017</w:t>
            </w:r>
            <w:r w:rsidRPr="000F0625">
              <w:rPr>
                <w:lang w:val="en-GB"/>
              </w:rPr>
              <w:t>0.001/pkm</w:t>
            </w:r>
          </w:p>
        </w:tc>
        <w:tc>
          <w:tcPr>
            <w:tcW w:w="1716" w:type="dxa"/>
          </w:tcPr>
          <w:p w14:paraId="00AED2DB"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0.0</w:t>
            </w:r>
            <w:r>
              <w:rPr>
                <w:lang w:val="en-GB"/>
              </w:rPr>
              <w:t>66</w:t>
            </w:r>
            <w:r w:rsidRPr="000F0625">
              <w:rPr>
                <w:lang w:val="en-GB"/>
              </w:rPr>
              <w:t>/pkm</w:t>
            </w:r>
          </w:p>
        </w:tc>
        <w:tc>
          <w:tcPr>
            <w:tcW w:w="3332" w:type="dxa"/>
          </w:tcPr>
          <w:p w14:paraId="4DDBD28E" w14:textId="77777777" w:rsidR="00B428DF" w:rsidRPr="000F0625" w:rsidRDefault="00B428DF" w:rsidP="00080905">
            <w:pPr>
              <w:spacing w:line="480" w:lineRule="auto"/>
              <w:jc w:val="both"/>
              <w:rPr>
                <w:lang w:val="en-GB"/>
              </w:rPr>
            </w:pPr>
            <w:r w:rsidRPr="000F0625">
              <w:rPr>
                <w:lang w:val="en-GB"/>
              </w:rPr>
              <w:t>Authors</w:t>
            </w:r>
          </w:p>
        </w:tc>
      </w:tr>
    </w:tbl>
    <w:p w14:paraId="22E83C44" w14:textId="77777777" w:rsidR="00B428DF" w:rsidRPr="000F0625" w:rsidRDefault="00B428DF" w:rsidP="00B428DF">
      <w:pPr>
        <w:spacing w:line="480" w:lineRule="auto"/>
        <w:outlineLvl w:val="0"/>
        <w:rPr>
          <w:color w:val="000000" w:themeColor="text1"/>
        </w:rPr>
      </w:pPr>
    </w:p>
    <w:p w14:paraId="425CD485" w14:textId="77777777" w:rsidR="00B428DF" w:rsidRPr="000F0625" w:rsidRDefault="00B428DF" w:rsidP="00B428DF">
      <w:pPr>
        <w:spacing w:line="480" w:lineRule="auto"/>
      </w:pPr>
    </w:p>
    <w:p w14:paraId="7E51C7A8"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Perceived safety and discomfort</w:t>
      </w:r>
    </w:p>
    <w:p w14:paraId="226573F7" w14:textId="77777777" w:rsidR="00B428DF" w:rsidRPr="000F0625" w:rsidRDefault="00B428DF" w:rsidP="00B428DF">
      <w:pPr>
        <w:spacing w:line="480" w:lineRule="auto"/>
        <w:jc w:val="both"/>
      </w:pPr>
      <w:r w:rsidRPr="000F0625">
        <w:t xml:space="preserve">Cyclists and pedestrians are exposed to </w:t>
      </w:r>
      <w:r>
        <w:t xml:space="preserve">significant </w:t>
      </w:r>
      <w:r w:rsidRPr="000F0625">
        <w:t xml:space="preserve">perceived </w:t>
      </w:r>
      <w:r>
        <w:t>traffic risks, noise and exhaust smells.</w:t>
      </w:r>
      <w:r w:rsidRPr="000F0625">
        <w:t xml:space="preserve"> The cost of these aspects may be assessed on the basis of willingness to pay for avoidance or willingness to accept exhaust, as well as on the basis of detours cycled to </w:t>
      </w:r>
      <w:r>
        <w:t>r</w:t>
      </w:r>
      <w:r w:rsidRPr="000F0625">
        <w:t>educe levels of discomfort. Tilahun et al. (2007) found, for instance, that cyclist</w:t>
      </w:r>
      <w:r>
        <w:t xml:space="preserve">s are willing to travel up to </w:t>
      </w:r>
      <w:r w:rsidRPr="000F0625">
        <w:t xml:space="preserve">20 minutes more to access dedicated bicycle trails. Only one study </w:t>
      </w:r>
      <w:r>
        <w:t>appears to quantify</w:t>
      </w:r>
      <w:r w:rsidRPr="000F0625">
        <w:t xml:space="preserve"> the costs of perceived safety and discomfort, based on an assessment of detours cycled as a result of perceived traffic risks, noise and exposure to exhaust fumes (Gössling et al. 2018). Cyclists in Germany and Austria reported to cycle 6.</w:t>
      </w:r>
      <w:r>
        <w:t>4</w:t>
      </w:r>
      <w:r w:rsidRPr="000F0625">
        <w:t>% longer distances to increase their safety and to avoid noise and exhaust fumes. The study also assessed willingness-to-pay for the avoidance of and willingness to accept exhaust fumes. Median WT</w:t>
      </w:r>
      <w:r>
        <w:t>A values</w:t>
      </w:r>
      <w:r w:rsidRPr="000F0625">
        <w:t xml:space="preserve"> </w:t>
      </w:r>
      <w:r>
        <w:t>translated</w:t>
      </w:r>
      <w:r w:rsidRPr="000F0625">
        <w:t xml:space="preserve"> into </w:t>
      </w:r>
      <w:r>
        <w:t xml:space="preserve">a median </w:t>
      </w:r>
      <w:r w:rsidRPr="000F0625">
        <w:t>per pkm cost</w:t>
      </w:r>
      <w:r>
        <w:t xml:space="preserve"> of </w:t>
      </w:r>
      <w:r w:rsidRPr="000F0625">
        <w:t>€</w:t>
      </w:r>
      <w:r w:rsidRPr="000F0625">
        <w:rPr>
          <w:vertAlign w:val="subscript"/>
        </w:rPr>
        <w:t>2017</w:t>
      </w:r>
      <w:r w:rsidRPr="000F0625">
        <w:t>0.240/pkm, with a mean value of €</w:t>
      </w:r>
      <w:r w:rsidRPr="000F0625">
        <w:rPr>
          <w:vertAlign w:val="subscript"/>
        </w:rPr>
        <w:t>2017</w:t>
      </w:r>
      <w:r w:rsidRPr="000F0625">
        <w:t xml:space="preserve">0.018/pkm. Perceived safety, noise, and exhaust smells may also affect drivers, but these effects have not </w:t>
      </w:r>
      <w:r w:rsidRPr="000F0625">
        <w:lastRenderedPageBreak/>
        <w:t xml:space="preserve">as yet been quantified. At </w:t>
      </w:r>
      <w:r>
        <w:t>75</w:t>
      </w:r>
      <w:r w:rsidRPr="000F0625">
        <w:t xml:space="preserve">% of the averaged German/Austrian GDP, the </w:t>
      </w:r>
      <w:r>
        <w:t>European area</w:t>
      </w:r>
      <w:r w:rsidRPr="000F0625">
        <w:t xml:space="preserve"> cost of perceived cycle safety and discomfort </w:t>
      </w:r>
      <w:r>
        <w:t>is</w:t>
      </w:r>
      <w:r w:rsidRPr="000F0625">
        <w:t xml:space="preserve"> €</w:t>
      </w:r>
      <w:r w:rsidRPr="000F0625">
        <w:rPr>
          <w:vertAlign w:val="subscript"/>
        </w:rPr>
        <w:t>2017</w:t>
      </w:r>
      <w:r w:rsidRPr="000F0625">
        <w:t>0.0</w:t>
      </w:r>
      <w:r>
        <w:t>1</w:t>
      </w:r>
      <w:r w:rsidRPr="000F0625">
        <w:t>4/pkm</w:t>
      </w:r>
      <w:r>
        <w:t xml:space="preserve"> (Table 14)</w:t>
      </w:r>
      <w:r w:rsidRPr="000F0625">
        <w:t>. In the absence of data, it is assumed that the cost imposed on walking is identical</w:t>
      </w:r>
      <w:r>
        <w:t xml:space="preserve">, though given the lower speed of pedestrians (6km/h, compared to 16km/h for cyclists), exposure time is higher per km, at </w:t>
      </w:r>
      <w:r w:rsidRPr="000F0625">
        <w:t>€</w:t>
      </w:r>
      <w:r w:rsidRPr="000F0625">
        <w:rPr>
          <w:vertAlign w:val="subscript"/>
        </w:rPr>
        <w:t>2017</w:t>
      </w:r>
      <w:r w:rsidRPr="000F0625">
        <w:t>0.0</w:t>
      </w:r>
      <w:r>
        <w:t>36</w:t>
      </w:r>
      <w:r w:rsidRPr="000F0625">
        <w:t xml:space="preserve">/pkm. </w:t>
      </w:r>
      <w:r>
        <w:t>Car drivers also impose a cost on each other, but there is no data to quantify this cost.</w:t>
      </w:r>
    </w:p>
    <w:p w14:paraId="291E8EFE" w14:textId="77777777" w:rsidR="00B428DF" w:rsidRPr="000F0625" w:rsidRDefault="00B428DF" w:rsidP="00B428DF">
      <w:pPr>
        <w:spacing w:line="480" w:lineRule="auto"/>
      </w:pPr>
    </w:p>
    <w:p w14:paraId="14606BF6" w14:textId="77777777" w:rsidR="00B428DF" w:rsidRPr="000F0625" w:rsidRDefault="00B428DF" w:rsidP="00B428DF">
      <w:pPr>
        <w:spacing w:line="480" w:lineRule="auto"/>
        <w:rPr>
          <w:b/>
        </w:rPr>
      </w:pPr>
      <w:r w:rsidRPr="000F0625">
        <w:rPr>
          <w:b/>
        </w:rPr>
        <w:t>Table 1</w:t>
      </w:r>
      <w:r>
        <w:rPr>
          <w:b/>
        </w:rPr>
        <w:t>4</w:t>
      </w:r>
      <w:r w:rsidRPr="000F0625">
        <w:rPr>
          <w:b/>
        </w:rPr>
        <w:t xml:space="preserve">: Costs of traffic risks, noise and exhaust fumes </w:t>
      </w:r>
    </w:p>
    <w:tbl>
      <w:tblPr>
        <w:tblStyle w:val="Tabelraster"/>
        <w:tblW w:w="8620" w:type="dxa"/>
        <w:tblInd w:w="108" w:type="dxa"/>
        <w:tblLook w:val="04A0" w:firstRow="1" w:lastRow="0" w:firstColumn="1" w:lastColumn="0" w:noHBand="0" w:noVBand="1"/>
      </w:tblPr>
      <w:tblGrid>
        <w:gridCol w:w="3155"/>
        <w:gridCol w:w="1625"/>
        <w:gridCol w:w="1720"/>
        <w:gridCol w:w="2120"/>
      </w:tblGrid>
      <w:tr w:rsidR="00B428DF" w:rsidRPr="000F0625" w14:paraId="76098E04" w14:textId="77777777" w:rsidTr="00080905">
        <w:tc>
          <w:tcPr>
            <w:tcW w:w="3155" w:type="dxa"/>
          </w:tcPr>
          <w:p w14:paraId="521A6CFF" w14:textId="77777777" w:rsidR="00B428DF" w:rsidRPr="000F0625" w:rsidRDefault="00B428DF" w:rsidP="00080905">
            <w:pPr>
              <w:spacing w:line="480" w:lineRule="auto"/>
              <w:rPr>
                <w:b/>
                <w:lang w:val="en-GB"/>
              </w:rPr>
            </w:pPr>
            <w:r w:rsidRPr="000F0625">
              <w:rPr>
                <w:b/>
                <w:lang w:val="en-GB"/>
              </w:rPr>
              <w:t>Assessment Car</w:t>
            </w:r>
          </w:p>
        </w:tc>
        <w:tc>
          <w:tcPr>
            <w:tcW w:w="1625" w:type="dxa"/>
          </w:tcPr>
          <w:p w14:paraId="5AD4480E" w14:textId="77777777" w:rsidR="00B428DF" w:rsidRPr="000F0625" w:rsidRDefault="00B428DF" w:rsidP="00080905">
            <w:pPr>
              <w:spacing w:line="480" w:lineRule="auto"/>
              <w:rPr>
                <w:b/>
                <w:lang w:val="en-GB"/>
              </w:rPr>
            </w:pPr>
            <w:r>
              <w:rPr>
                <w:b/>
                <w:lang w:val="en-GB"/>
              </w:rPr>
              <w:t>Cost external</w:t>
            </w:r>
          </w:p>
        </w:tc>
        <w:tc>
          <w:tcPr>
            <w:tcW w:w="1720" w:type="dxa"/>
          </w:tcPr>
          <w:p w14:paraId="1CDD1DA0" w14:textId="77777777" w:rsidR="00B428DF" w:rsidRPr="000F0625" w:rsidRDefault="00B428DF" w:rsidP="00080905">
            <w:pPr>
              <w:spacing w:line="480" w:lineRule="auto"/>
              <w:rPr>
                <w:b/>
                <w:lang w:val="en-GB"/>
              </w:rPr>
            </w:pPr>
            <w:r w:rsidRPr="000F0625">
              <w:rPr>
                <w:b/>
                <w:lang w:val="en-GB"/>
              </w:rPr>
              <w:t>Cost private</w:t>
            </w:r>
          </w:p>
        </w:tc>
        <w:tc>
          <w:tcPr>
            <w:tcW w:w="2120" w:type="dxa"/>
          </w:tcPr>
          <w:p w14:paraId="69C6431D" w14:textId="77777777" w:rsidR="00B428DF" w:rsidRPr="000F0625" w:rsidRDefault="00B428DF" w:rsidP="00080905">
            <w:pPr>
              <w:spacing w:line="480" w:lineRule="auto"/>
              <w:rPr>
                <w:b/>
                <w:lang w:val="en-GB"/>
              </w:rPr>
            </w:pPr>
            <w:r w:rsidRPr="000F0625">
              <w:rPr>
                <w:b/>
                <w:lang w:val="en-GB"/>
              </w:rPr>
              <w:t>Reference</w:t>
            </w:r>
          </w:p>
        </w:tc>
      </w:tr>
      <w:tr w:rsidR="00B428DF" w:rsidRPr="000F0625" w14:paraId="6D16D714" w14:textId="77777777" w:rsidTr="00080905">
        <w:trPr>
          <w:trHeight w:val="296"/>
        </w:trPr>
        <w:tc>
          <w:tcPr>
            <w:tcW w:w="3155" w:type="dxa"/>
          </w:tcPr>
          <w:p w14:paraId="679A3187" w14:textId="77777777" w:rsidR="00B428DF" w:rsidRPr="000F0625" w:rsidRDefault="00B428DF" w:rsidP="00080905">
            <w:pPr>
              <w:spacing w:line="480" w:lineRule="auto"/>
              <w:rPr>
                <w:lang w:val="en-GB"/>
              </w:rPr>
            </w:pPr>
            <w:r w:rsidRPr="000F0625">
              <w:rPr>
                <w:lang w:val="en-GB"/>
              </w:rPr>
              <w:t>Perceived safety and discomfort</w:t>
            </w:r>
          </w:p>
        </w:tc>
        <w:tc>
          <w:tcPr>
            <w:tcW w:w="1625" w:type="dxa"/>
          </w:tcPr>
          <w:p w14:paraId="216AEE79" w14:textId="77777777" w:rsidR="00B428DF" w:rsidRPr="000F0625" w:rsidRDefault="00B428DF" w:rsidP="00080905">
            <w:pPr>
              <w:spacing w:line="480" w:lineRule="auto"/>
              <w:jc w:val="right"/>
              <w:rPr>
                <w:lang w:val="en-GB"/>
              </w:rPr>
            </w:pPr>
            <w:r w:rsidRPr="000F0625">
              <w:rPr>
                <w:lang w:val="en-GB"/>
              </w:rPr>
              <w:t>?</w:t>
            </w:r>
          </w:p>
        </w:tc>
        <w:tc>
          <w:tcPr>
            <w:tcW w:w="1720" w:type="dxa"/>
          </w:tcPr>
          <w:p w14:paraId="1E4B570D" w14:textId="77777777" w:rsidR="00B428DF" w:rsidRPr="000F0625" w:rsidRDefault="00B428DF" w:rsidP="00080905">
            <w:pPr>
              <w:spacing w:line="480" w:lineRule="auto"/>
              <w:jc w:val="right"/>
              <w:rPr>
                <w:lang w:val="en-GB"/>
              </w:rPr>
            </w:pPr>
            <w:r w:rsidRPr="000F0625">
              <w:rPr>
                <w:lang w:val="en-GB"/>
              </w:rPr>
              <w:t>?</w:t>
            </w:r>
          </w:p>
        </w:tc>
        <w:tc>
          <w:tcPr>
            <w:tcW w:w="2120" w:type="dxa"/>
          </w:tcPr>
          <w:p w14:paraId="4B573EF3" w14:textId="77777777" w:rsidR="00B428DF" w:rsidRPr="000F0625" w:rsidRDefault="00B428DF" w:rsidP="00080905">
            <w:pPr>
              <w:spacing w:line="480" w:lineRule="auto"/>
              <w:rPr>
                <w:lang w:val="en-GB"/>
              </w:rPr>
            </w:pPr>
            <w:r w:rsidRPr="000F0625">
              <w:rPr>
                <w:lang w:val="en-GB"/>
              </w:rPr>
              <w:t>-</w:t>
            </w:r>
          </w:p>
        </w:tc>
      </w:tr>
      <w:tr w:rsidR="00B428DF" w:rsidRPr="000F0625" w14:paraId="06AEA1E0" w14:textId="77777777" w:rsidTr="00080905">
        <w:tc>
          <w:tcPr>
            <w:tcW w:w="3155" w:type="dxa"/>
          </w:tcPr>
          <w:p w14:paraId="2045FC33" w14:textId="77777777" w:rsidR="00B428DF" w:rsidRPr="000F0625" w:rsidRDefault="00B428DF" w:rsidP="00080905">
            <w:pPr>
              <w:spacing w:line="480" w:lineRule="auto"/>
              <w:rPr>
                <w:b/>
                <w:lang w:val="en-GB"/>
              </w:rPr>
            </w:pPr>
            <w:r w:rsidRPr="000F0625">
              <w:rPr>
                <w:b/>
                <w:lang w:val="en-GB"/>
              </w:rPr>
              <w:t>Assessment Bicycle</w:t>
            </w:r>
          </w:p>
        </w:tc>
        <w:tc>
          <w:tcPr>
            <w:tcW w:w="1625" w:type="dxa"/>
          </w:tcPr>
          <w:p w14:paraId="37E8F397" w14:textId="77777777" w:rsidR="00B428DF" w:rsidRPr="000F0625" w:rsidRDefault="00B428DF" w:rsidP="00080905">
            <w:pPr>
              <w:spacing w:line="480" w:lineRule="auto"/>
              <w:rPr>
                <w:b/>
                <w:lang w:val="en-GB"/>
              </w:rPr>
            </w:pPr>
            <w:r>
              <w:rPr>
                <w:b/>
                <w:lang w:val="en-GB"/>
              </w:rPr>
              <w:t>Cost external</w:t>
            </w:r>
          </w:p>
        </w:tc>
        <w:tc>
          <w:tcPr>
            <w:tcW w:w="1720" w:type="dxa"/>
          </w:tcPr>
          <w:p w14:paraId="7ED5B122" w14:textId="77777777" w:rsidR="00B428DF" w:rsidRPr="000F0625" w:rsidRDefault="00B428DF" w:rsidP="00080905">
            <w:pPr>
              <w:spacing w:line="480" w:lineRule="auto"/>
              <w:rPr>
                <w:b/>
                <w:lang w:val="en-GB"/>
              </w:rPr>
            </w:pPr>
            <w:r w:rsidRPr="000F0625">
              <w:rPr>
                <w:b/>
                <w:lang w:val="en-GB"/>
              </w:rPr>
              <w:t>Cost private</w:t>
            </w:r>
          </w:p>
        </w:tc>
        <w:tc>
          <w:tcPr>
            <w:tcW w:w="2120" w:type="dxa"/>
          </w:tcPr>
          <w:p w14:paraId="66F957EA" w14:textId="77777777" w:rsidR="00B428DF" w:rsidRPr="000F0625" w:rsidRDefault="00B428DF" w:rsidP="00080905">
            <w:pPr>
              <w:spacing w:line="480" w:lineRule="auto"/>
              <w:rPr>
                <w:b/>
                <w:lang w:val="en-GB"/>
              </w:rPr>
            </w:pPr>
            <w:r w:rsidRPr="000F0625">
              <w:rPr>
                <w:b/>
                <w:lang w:val="en-GB"/>
              </w:rPr>
              <w:t>Reference</w:t>
            </w:r>
          </w:p>
        </w:tc>
      </w:tr>
      <w:tr w:rsidR="00B428DF" w:rsidRPr="000F0625" w14:paraId="7D6363CC" w14:textId="77777777" w:rsidTr="00080905">
        <w:trPr>
          <w:trHeight w:val="296"/>
        </w:trPr>
        <w:tc>
          <w:tcPr>
            <w:tcW w:w="3155" w:type="dxa"/>
          </w:tcPr>
          <w:p w14:paraId="7484B722" w14:textId="77777777" w:rsidR="00B428DF" w:rsidRPr="000F0625" w:rsidRDefault="00B428DF" w:rsidP="00080905">
            <w:pPr>
              <w:spacing w:line="480" w:lineRule="auto"/>
              <w:rPr>
                <w:lang w:val="en-GB"/>
              </w:rPr>
            </w:pPr>
            <w:r w:rsidRPr="000F0625">
              <w:rPr>
                <w:lang w:val="en-GB"/>
              </w:rPr>
              <w:t>Perceived safety and discomfort</w:t>
            </w:r>
          </w:p>
        </w:tc>
        <w:tc>
          <w:tcPr>
            <w:tcW w:w="1625" w:type="dxa"/>
          </w:tcPr>
          <w:p w14:paraId="22728C5D" w14:textId="77777777" w:rsidR="00B428DF" w:rsidRPr="000F0625" w:rsidRDefault="00B428DF" w:rsidP="00080905">
            <w:pPr>
              <w:spacing w:line="480" w:lineRule="auto"/>
              <w:jc w:val="right"/>
              <w:rPr>
                <w:lang w:val="en-GB"/>
              </w:rPr>
            </w:pPr>
            <w:r w:rsidRPr="000F0625">
              <w:rPr>
                <w:lang w:val="en-GB"/>
              </w:rPr>
              <w:t>-</w:t>
            </w:r>
          </w:p>
        </w:tc>
        <w:tc>
          <w:tcPr>
            <w:tcW w:w="1720" w:type="dxa"/>
          </w:tcPr>
          <w:p w14:paraId="1F7F8CC0"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0.0</w:t>
            </w:r>
            <w:r>
              <w:rPr>
                <w:lang w:val="en-GB"/>
              </w:rPr>
              <w:t>1</w:t>
            </w:r>
            <w:r w:rsidRPr="000F0625">
              <w:rPr>
                <w:lang w:val="en-GB"/>
              </w:rPr>
              <w:t>4/pkm</w:t>
            </w:r>
          </w:p>
        </w:tc>
        <w:tc>
          <w:tcPr>
            <w:tcW w:w="2120" w:type="dxa"/>
          </w:tcPr>
          <w:p w14:paraId="7B4767BB" w14:textId="77777777" w:rsidR="00B428DF" w:rsidRPr="000F0625" w:rsidRDefault="00B428DF" w:rsidP="00080905">
            <w:pPr>
              <w:spacing w:line="480" w:lineRule="auto"/>
              <w:rPr>
                <w:lang w:val="en-GB"/>
              </w:rPr>
            </w:pPr>
            <w:r w:rsidRPr="000F0625">
              <w:rPr>
                <w:lang w:val="en-GB"/>
              </w:rPr>
              <w:t>Gössling et al. 2018</w:t>
            </w:r>
          </w:p>
        </w:tc>
      </w:tr>
      <w:tr w:rsidR="00B428DF" w:rsidRPr="000F0625" w14:paraId="751E08A1" w14:textId="77777777" w:rsidTr="00080905">
        <w:tc>
          <w:tcPr>
            <w:tcW w:w="3155" w:type="dxa"/>
          </w:tcPr>
          <w:p w14:paraId="68F8747B" w14:textId="77777777" w:rsidR="00B428DF" w:rsidRPr="000F0625" w:rsidRDefault="00B428DF" w:rsidP="00080905">
            <w:pPr>
              <w:spacing w:line="480" w:lineRule="auto"/>
              <w:rPr>
                <w:b/>
                <w:lang w:val="en-GB"/>
              </w:rPr>
            </w:pPr>
            <w:r>
              <w:rPr>
                <w:b/>
                <w:lang w:val="en-GB"/>
              </w:rPr>
              <w:t>Assessment Walking</w:t>
            </w:r>
          </w:p>
        </w:tc>
        <w:tc>
          <w:tcPr>
            <w:tcW w:w="1625" w:type="dxa"/>
          </w:tcPr>
          <w:p w14:paraId="1E9977C4" w14:textId="77777777" w:rsidR="00B428DF" w:rsidRPr="000F0625" w:rsidRDefault="00B428DF" w:rsidP="00080905">
            <w:pPr>
              <w:spacing w:line="480" w:lineRule="auto"/>
              <w:rPr>
                <w:b/>
                <w:lang w:val="en-GB"/>
              </w:rPr>
            </w:pPr>
            <w:r>
              <w:rPr>
                <w:b/>
                <w:lang w:val="en-GB"/>
              </w:rPr>
              <w:t>Cost external</w:t>
            </w:r>
          </w:p>
        </w:tc>
        <w:tc>
          <w:tcPr>
            <w:tcW w:w="1720" w:type="dxa"/>
          </w:tcPr>
          <w:p w14:paraId="00944EF5" w14:textId="77777777" w:rsidR="00B428DF" w:rsidRPr="000F0625" w:rsidRDefault="00B428DF" w:rsidP="00080905">
            <w:pPr>
              <w:spacing w:line="480" w:lineRule="auto"/>
              <w:rPr>
                <w:b/>
                <w:lang w:val="en-GB"/>
              </w:rPr>
            </w:pPr>
            <w:r w:rsidRPr="000F0625">
              <w:rPr>
                <w:b/>
                <w:lang w:val="en-GB"/>
              </w:rPr>
              <w:t>Cost private</w:t>
            </w:r>
          </w:p>
        </w:tc>
        <w:tc>
          <w:tcPr>
            <w:tcW w:w="2120" w:type="dxa"/>
          </w:tcPr>
          <w:p w14:paraId="54A5BBAF" w14:textId="77777777" w:rsidR="00B428DF" w:rsidRPr="000F0625" w:rsidRDefault="00B428DF" w:rsidP="00080905">
            <w:pPr>
              <w:spacing w:line="480" w:lineRule="auto"/>
              <w:rPr>
                <w:b/>
                <w:lang w:val="en-GB"/>
              </w:rPr>
            </w:pPr>
            <w:r w:rsidRPr="000F0625">
              <w:rPr>
                <w:b/>
                <w:lang w:val="en-GB"/>
              </w:rPr>
              <w:t>Reference</w:t>
            </w:r>
          </w:p>
        </w:tc>
      </w:tr>
      <w:tr w:rsidR="00B428DF" w:rsidRPr="000F0625" w14:paraId="57D7123C" w14:textId="77777777" w:rsidTr="00080905">
        <w:trPr>
          <w:trHeight w:val="296"/>
        </w:trPr>
        <w:tc>
          <w:tcPr>
            <w:tcW w:w="3155" w:type="dxa"/>
          </w:tcPr>
          <w:p w14:paraId="1C3E0EEA" w14:textId="77777777" w:rsidR="00B428DF" w:rsidRPr="000F0625" w:rsidRDefault="00B428DF" w:rsidP="00080905">
            <w:pPr>
              <w:spacing w:line="480" w:lineRule="auto"/>
              <w:rPr>
                <w:lang w:val="en-GB"/>
              </w:rPr>
            </w:pPr>
            <w:r w:rsidRPr="000F0625">
              <w:rPr>
                <w:lang w:val="en-GB"/>
              </w:rPr>
              <w:t>Perceived safety and discomfort</w:t>
            </w:r>
          </w:p>
        </w:tc>
        <w:tc>
          <w:tcPr>
            <w:tcW w:w="1625" w:type="dxa"/>
          </w:tcPr>
          <w:p w14:paraId="13CED564" w14:textId="77777777" w:rsidR="00B428DF" w:rsidRPr="000F0625" w:rsidRDefault="00B428DF" w:rsidP="00080905">
            <w:pPr>
              <w:spacing w:line="480" w:lineRule="auto"/>
              <w:jc w:val="right"/>
              <w:rPr>
                <w:lang w:val="en-GB"/>
              </w:rPr>
            </w:pPr>
            <w:r w:rsidRPr="000F0625">
              <w:rPr>
                <w:lang w:val="en-GB"/>
              </w:rPr>
              <w:t>-</w:t>
            </w:r>
          </w:p>
        </w:tc>
        <w:tc>
          <w:tcPr>
            <w:tcW w:w="1720" w:type="dxa"/>
          </w:tcPr>
          <w:p w14:paraId="00DD2184" w14:textId="77777777" w:rsidR="00B428DF" w:rsidRPr="000F0625" w:rsidRDefault="00B428DF" w:rsidP="00080905">
            <w:pPr>
              <w:spacing w:line="480" w:lineRule="auto"/>
              <w:jc w:val="right"/>
              <w:rPr>
                <w:lang w:val="en-GB"/>
              </w:rPr>
            </w:pPr>
            <w:r w:rsidRPr="000F0625">
              <w:rPr>
                <w:lang w:val="en-GB"/>
              </w:rPr>
              <w:t>€</w:t>
            </w:r>
            <w:r w:rsidRPr="000F0625">
              <w:rPr>
                <w:vertAlign w:val="subscript"/>
                <w:lang w:val="en-GB"/>
              </w:rPr>
              <w:t>2017</w:t>
            </w:r>
            <w:r w:rsidRPr="000F0625">
              <w:rPr>
                <w:lang w:val="en-GB"/>
              </w:rPr>
              <w:t>0.0</w:t>
            </w:r>
            <w:r>
              <w:rPr>
                <w:lang w:val="en-GB"/>
              </w:rPr>
              <w:t>36</w:t>
            </w:r>
            <w:r w:rsidRPr="000F0625">
              <w:rPr>
                <w:lang w:val="en-GB"/>
              </w:rPr>
              <w:t>/pkm</w:t>
            </w:r>
          </w:p>
        </w:tc>
        <w:tc>
          <w:tcPr>
            <w:tcW w:w="2120" w:type="dxa"/>
          </w:tcPr>
          <w:p w14:paraId="3E5B83AB" w14:textId="77777777" w:rsidR="00B428DF" w:rsidRPr="000F0625" w:rsidRDefault="00B428DF" w:rsidP="00080905">
            <w:pPr>
              <w:spacing w:line="480" w:lineRule="auto"/>
              <w:rPr>
                <w:lang w:val="en-GB"/>
              </w:rPr>
            </w:pPr>
            <w:r>
              <w:rPr>
                <w:lang w:val="en-GB"/>
              </w:rPr>
              <w:t>Authors</w:t>
            </w:r>
          </w:p>
        </w:tc>
      </w:tr>
    </w:tbl>
    <w:p w14:paraId="70E3684D" w14:textId="77777777" w:rsidR="00B428DF" w:rsidRPr="000F0625" w:rsidRDefault="00B428DF" w:rsidP="00B428DF">
      <w:pPr>
        <w:spacing w:line="480" w:lineRule="auto"/>
      </w:pPr>
    </w:p>
    <w:p w14:paraId="5F255060" w14:textId="77777777" w:rsidR="00B428DF" w:rsidRPr="000F0625" w:rsidRDefault="00B428DF" w:rsidP="00B428DF">
      <w:pPr>
        <w:spacing w:line="480" w:lineRule="auto"/>
      </w:pPr>
    </w:p>
    <w:p w14:paraId="35895D33" w14:textId="77777777" w:rsidR="00B428DF" w:rsidRPr="000F0625" w:rsidRDefault="00B428DF" w:rsidP="00B428DF">
      <w:pPr>
        <w:pStyle w:val="Lijstalinea"/>
        <w:numPr>
          <w:ilvl w:val="0"/>
          <w:numId w:val="19"/>
        </w:numPr>
        <w:spacing w:line="480" w:lineRule="auto"/>
        <w:rPr>
          <w:rFonts w:ascii="Times New Roman" w:hAnsi="Times New Roman" w:cs="Times New Roman"/>
          <w:b/>
          <w:bCs/>
        </w:rPr>
      </w:pPr>
      <w:r w:rsidRPr="000F0625">
        <w:rPr>
          <w:rFonts w:ascii="Times New Roman" w:hAnsi="Times New Roman" w:cs="Times New Roman"/>
          <w:b/>
          <w:bCs/>
        </w:rPr>
        <w:t>Quality of life, branding and tourism</w:t>
      </w:r>
    </w:p>
    <w:p w14:paraId="71C93DB3" w14:textId="77777777" w:rsidR="00B428DF" w:rsidRPr="000F0625" w:rsidRDefault="00B428DF" w:rsidP="00B428DF">
      <w:pPr>
        <w:spacing w:line="480" w:lineRule="auto"/>
        <w:jc w:val="both"/>
      </w:pPr>
      <w:r>
        <w:t>Q</w:t>
      </w:r>
      <w:r w:rsidRPr="000F0625">
        <w:t>uality of life</w:t>
      </w:r>
      <w:r>
        <w:t>, branding and tourism effects associated with cities that have high bicycle and walking shares have been confirmed, but not quantified (Table 15).</w:t>
      </w:r>
      <w:r w:rsidRPr="000F0625">
        <w:t xml:space="preserve"> COWI and City of Copenhagen (2009) estimate</w:t>
      </w:r>
      <w:r>
        <w:t>d</w:t>
      </w:r>
      <w:r w:rsidRPr="000F0625">
        <w:t xml:space="preserve"> that cycling has a branding and tourism effect of €</w:t>
      </w:r>
      <w:r w:rsidRPr="000F0625">
        <w:rPr>
          <w:vertAlign w:val="subscript"/>
        </w:rPr>
        <w:t>2008</w:t>
      </w:r>
      <w:r w:rsidRPr="000F0625">
        <w:t xml:space="preserve">-0.003/pkm for Copenhagen. </w:t>
      </w:r>
      <w:r>
        <w:t>Such effects are</w:t>
      </w:r>
      <w:r w:rsidRPr="000F0625">
        <w:t xml:space="preserve"> most</w:t>
      </w:r>
      <w:r>
        <w:t>ly</w:t>
      </w:r>
      <w:r w:rsidRPr="000F0625">
        <w:t xml:space="preserve"> relevant in urban contexts, and have more limited importance in rural contexts. It </w:t>
      </w:r>
      <w:r>
        <w:t>remains currently</w:t>
      </w:r>
      <w:r w:rsidRPr="000F0625">
        <w:t xml:space="preserve"> difficult to assign a value to quality of life</w:t>
      </w:r>
      <w:r>
        <w:t>, branding and tourism</w:t>
      </w:r>
      <w:r w:rsidRPr="000F0625">
        <w:t>.</w:t>
      </w:r>
    </w:p>
    <w:p w14:paraId="5050E381" w14:textId="77777777" w:rsidR="00B428DF" w:rsidRPr="000F0625" w:rsidRDefault="00B428DF" w:rsidP="00B428DF">
      <w:pPr>
        <w:spacing w:line="480" w:lineRule="auto"/>
        <w:jc w:val="both"/>
      </w:pPr>
    </w:p>
    <w:p w14:paraId="4A349FDC" w14:textId="77777777" w:rsidR="00B428DF" w:rsidRPr="000F0625" w:rsidRDefault="00B428DF" w:rsidP="00B428DF">
      <w:pPr>
        <w:spacing w:line="480" w:lineRule="auto"/>
        <w:rPr>
          <w:b/>
        </w:rPr>
      </w:pPr>
      <w:r w:rsidRPr="000F0625">
        <w:rPr>
          <w:b/>
        </w:rPr>
        <w:t>Table 1</w:t>
      </w:r>
      <w:r>
        <w:rPr>
          <w:b/>
        </w:rPr>
        <w:t>5</w:t>
      </w:r>
      <w:r w:rsidRPr="000F0625">
        <w:rPr>
          <w:b/>
        </w:rPr>
        <w:t>: Quality of life, branding and tourism costs</w:t>
      </w:r>
    </w:p>
    <w:tbl>
      <w:tblPr>
        <w:tblStyle w:val="Tabelraster"/>
        <w:tblW w:w="9639" w:type="dxa"/>
        <w:tblInd w:w="108" w:type="dxa"/>
        <w:tblLook w:val="04A0" w:firstRow="1" w:lastRow="0" w:firstColumn="1" w:lastColumn="0" w:noHBand="0" w:noVBand="1"/>
      </w:tblPr>
      <w:tblGrid>
        <w:gridCol w:w="2192"/>
        <w:gridCol w:w="1997"/>
        <w:gridCol w:w="1481"/>
        <w:gridCol w:w="3969"/>
      </w:tblGrid>
      <w:tr w:rsidR="00B428DF" w:rsidRPr="000F0625" w14:paraId="7EF92A04" w14:textId="77777777" w:rsidTr="00080905">
        <w:tc>
          <w:tcPr>
            <w:tcW w:w="2192" w:type="dxa"/>
          </w:tcPr>
          <w:p w14:paraId="5FE58626" w14:textId="77777777" w:rsidR="00B428DF" w:rsidRPr="000F0625" w:rsidRDefault="00B428DF" w:rsidP="00080905">
            <w:pPr>
              <w:spacing w:line="480" w:lineRule="auto"/>
              <w:rPr>
                <w:b/>
                <w:lang w:val="en-GB"/>
              </w:rPr>
            </w:pPr>
            <w:r w:rsidRPr="000F0625">
              <w:rPr>
                <w:b/>
                <w:lang w:val="en-GB"/>
              </w:rPr>
              <w:lastRenderedPageBreak/>
              <w:t>Assessment Car</w:t>
            </w:r>
          </w:p>
        </w:tc>
        <w:tc>
          <w:tcPr>
            <w:tcW w:w="1997" w:type="dxa"/>
          </w:tcPr>
          <w:p w14:paraId="035847BC" w14:textId="77777777" w:rsidR="00B428DF" w:rsidRPr="000F0625" w:rsidRDefault="00B428DF" w:rsidP="00080905">
            <w:pPr>
              <w:spacing w:line="480" w:lineRule="auto"/>
              <w:rPr>
                <w:b/>
                <w:lang w:val="en-GB"/>
              </w:rPr>
            </w:pPr>
            <w:r>
              <w:rPr>
                <w:b/>
                <w:lang w:val="en-GB"/>
              </w:rPr>
              <w:t>Cost external</w:t>
            </w:r>
          </w:p>
        </w:tc>
        <w:tc>
          <w:tcPr>
            <w:tcW w:w="1481" w:type="dxa"/>
          </w:tcPr>
          <w:p w14:paraId="6CC4A84C" w14:textId="77777777" w:rsidR="00B428DF" w:rsidRPr="000F0625" w:rsidRDefault="00B428DF" w:rsidP="00080905">
            <w:pPr>
              <w:spacing w:line="480" w:lineRule="auto"/>
              <w:rPr>
                <w:b/>
                <w:lang w:val="en-GB"/>
              </w:rPr>
            </w:pPr>
            <w:r w:rsidRPr="000F0625">
              <w:rPr>
                <w:b/>
                <w:lang w:val="en-GB"/>
              </w:rPr>
              <w:t>Cost private</w:t>
            </w:r>
          </w:p>
        </w:tc>
        <w:tc>
          <w:tcPr>
            <w:tcW w:w="3969" w:type="dxa"/>
          </w:tcPr>
          <w:p w14:paraId="4F7963DE" w14:textId="77777777" w:rsidR="00B428DF" w:rsidRPr="000F0625" w:rsidRDefault="00B428DF" w:rsidP="00080905">
            <w:pPr>
              <w:spacing w:line="480" w:lineRule="auto"/>
              <w:rPr>
                <w:b/>
                <w:lang w:val="en-GB"/>
              </w:rPr>
            </w:pPr>
            <w:r w:rsidRPr="000F0625">
              <w:rPr>
                <w:b/>
                <w:lang w:val="en-GB"/>
              </w:rPr>
              <w:t>Reference</w:t>
            </w:r>
          </w:p>
        </w:tc>
      </w:tr>
      <w:tr w:rsidR="00B428DF" w:rsidRPr="000F0625" w14:paraId="63AC6AC9" w14:textId="77777777" w:rsidTr="00080905">
        <w:trPr>
          <w:trHeight w:val="296"/>
        </w:trPr>
        <w:tc>
          <w:tcPr>
            <w:tcW w:w="2192" w:type="dxa"/>
          </w:tcPr>
          <w:p w14:paraId="37CDCAA6" w14:textId="77777777" w:rsidR="00B428DF" w:rsidRPr="000F0625" w:rsidRDefault="00B428DF" w:rsidP="00080905">
            <w:pPr>
              <w:spacing w:line="480" w:lineRule="auto"/>
              <w:rPr>
                <w:lang w:val="en-GB"/>
              </w:rPr>
            </w:pPr>
            <w:r w:rsidRPr="000F0625">
              <w:rPr>
                <w:lang w:val="en-GB"/>
              </w:rPr>
              <w:t>Quality of life</w:t>
            </w:r>
          </w:p>
          <w:p w14:paraId="6CE40B0F" w14:textId="77777777" w:rsidR="00B428DF" w:rsidRPr="000F0625" w:rsidRDefault="00B428DF" w:rsidP="00080905">
            <w:pPr>
              <w:spacing w:line="480" w:lineRule="auto"/>
              <w:rPr>
                <w:lang w:val="en-GB"/>
              </w:rPr>
            </w:pPr>
            <w:r w:rsidRPr="000F0625">
              <w:rPr>
                <w:lang w:val="en-GB"/>
              </w:rPr>
              <w:t>Branding &amp; tourism</w:t>
            </w:r>
          </w:p>
        </w:tc>
        <w:tc>
          <w:tcPr>
            <w:tcW w:w="1997" w:type="dxa"/>
          </w:tcPr>
          <w:p w14:paraId="0389269B" w14:textId="77777777" w:rsidR="00B428DF" w:rsidRPr="000F0625" w:rsidRDefault="00B428DF" w:rsidP="00080905">
            <w:pPr>
              <w:spacing w:line="480" w:lineRule="auto"/>
              <w:jc w:val="right"/>
              <w:rPr>
                <w:lang w:val="en-GB"/>
              </w:rPr>
            </w:pPr>
            <w:r w:rsidRPr="000F0625">
              <w:rPr>
                <w:lang w:val="en-GB"/>
              </w:rPr>
              <w:t>0</w:t>
            </w:r>
          </w:p>
          <w:p w14:paraId="3F9AA801" w14:textId="77777777" w:rsidR="00B428DF" w:rsidRPr="000F0625" w:rsidRDefault="00B428DF" w:rsidP="00080905">
            <w:pPr>
              <w:spacing w:line="480" w:lineRule="auto"/>
              <w:jc w:val="right"/>
              <w:rPr>
                <w:lang w:val="en-GB"/>
              </w:rPr>
            </w:pPr>
            <w:r w:rsidRPr="000F0625">
              <w:rPr>
                <w:lang w:val="en-GB"/>
              </w:rPr>
              <w:t>0</w:t>
            </w:r>
          </w:p>
        </w:tc>
        <w:tc>
          <w:tcPr>
            <w:tcW w:w="1481" w:type="dxa"/>
          </w:tcPr>
          <w:p w14:paraId="2B2C01D6" w14:textId="77777777" w:rsidR="00B428DF" w:rsidRPr="000F0625" w:rsidRDefault="00B428DF" w:rsidP="00080905">
            <w:pPr>
              <w:spacing w:line="480" w:lineRule="auto"/>
              <w:jc w:val="right"/>
              <w:rPr>
                <w:lang w:val="en-GB"/>
              </w:rPr>
            </w:pPr>
            <w:r w:rsidRPr="000F0625">
              <w:rPr>
                <w:lang w:val="en-GB"/>
              </w:rPr>
              <w:t>0</w:t>
            </w:r>
          </w:p>
          <w:p w14:paraId="524F2F8E" w14:textId="77777777" w:rsidR="00B428DF" w:rsidRPr="000F0625" w:rsidRDefault="00B428DF" w:rsidP="00080905">
            <w:pPr>
              <w:spacing w:line="480" w:lineRule="auto"/>
              <w:jc w:val="right"/>
              <w:rPr>
                <w:lang w:val="en-GB"/>
              </w:rPr>
            </w:pPr>
            <w:r w:rsidRPr="000F0625">
              <w:rPr>
                <w:lang w:val="en-GB"/>
              </w:rPr>
              <w:t>0</w:t>
            </w:r>
          </w:p>
        </w:tc>
        <w:tc>
          <w:tcPr>
            <w:tcW w:w="3969" w:type="dxa"/>
          </w:tcPr>
          <w:p w14:paraId="42E038FF" w14:textId="77777777" w:rsidR="00B428DF" w:rsidRDefault="00B428DF" w:rsidP="00080905">
            <w:pPr>
              <w:spacing w:line="480" w:lineRule="auto"/>
              <w:rPr>
                <w:lang w:val="en-GB"/>
              </w:rPr>
            </w:pPr>
            <w:r>
              <w:rPr>
                <w:lang w:val="en-GB"/>
              </w:rPr>
              <w:t>-</w:t>
            </w:r>
          </w:p>
          <w:p w14:paraId="2EF76362" w14:textId="77777777" w:rsidR="00B428DF" w:rsidRPr="000F0625" w:rsidRDefault="00B428DF" w:rsidP="00080905">
            <w:pPr>
              <w:spacing w:line="480" w:lineRule="auto"/>
              <w:rPr>
                <w:lang w:val="en-GB"/>
              </w:rPr>
            </w:pPr>
            <w:r>
              <w:rPr>
                <w:lang w:val="en-GB"/>
              </w:rPr>
              <w:t>-</w:t>
            </w:r>
          </w:p>
        </w:tc>
      </w:tr>
      <w:tr w:rsidR="00B428DF" w:rsidRPr="000F0625" w14:paraId="14C1319B" w14:textId="77777777" w:rsidTr="00080905">
        <w:tc>
          <w:tcPr>
            <w:tcW w:w="2192" w:type="dxa"/>
          </w:tcPr>
          <w:p w14:paraId="68898618" w14:textId="77777777" w:rsidR="00B428DF" w:rsidRPr="000F0625" w:rsidRDefault="00B428DF" w:rsidP="00080905">
            <w:pPr>
              <w:spacing w:line="480" w:lineRule="auto"/>
              <w:rPr>
                <w:b/>
                <w:lang w:val="en-GB"/>
              </w:rPr>
            </w:pPr>
            <w:r w:rsidRPr="000F0625">
              <w:rPr>
                <w:b/>
                <w:lang w:val="en-GB"/>
              </w:rPr>
              <w:t>Assessment Bicycle</w:t>
            </w:r>
          </w:p>
        </w:tc>
        <w:tc>
          <w:tcPr>
            <w:tcW w:w="1997" w:type="dxa"/>
          </w:tcPr>
          <w:p w14:paraId="7EEA4831" w14:textId="77777777" w:rsidR="00B428DF" w:rsidRPr="000F0625" w:rsidRDefault="00B428DF" w:rsidP="00080905">
            <w:pPr>
              <w:spacing w:line="480" w:lineRule="auto"/>
              <w:rPr>
                <w:b/>
                <w:lang w:val="en-GB"/>
              </w:rPr>
            </w:pPr>
            <w:r>
              <w:rPr>
                <w:b/>
                <w:lang w:val="en-GB"/>
              </w:rPr>
              <w:t>Cost external</w:t>
            </w:r>
          </w:p>
        </w:tc>
        <w:tc>
          <w:tcPr>
            <w:tcW w:w="1481" w:type="dxa"/>
          </w:tcPr>
          <w:p w14:paraId="7CE07B34" w14:textId="77777777" w:rsidR="00B428DF" w:rsidRPr="000F0625" w:rsidRDefault="00B428DF" w:rsidP="00080905">
            <w:pPr>
              <w:spacing w:line="480" w:lineRule="auto"/>
              <w:rPr>
                <w:b/>
                <w:lang w:val="en-GB"/>
              </w:rPr>
            </w:pPr>
            <w:r w:rsidRPr="000F0625">
              <w:rPr>
                <w:b/>
                <w:lang w:val="en-GB"/>
              </w:rPr>
              <w:t>Cost private</w:t>
            </w:r>
          </w:p>
        </w:tc>
        <w:tc>
          <w:tcPr>
            <w:tcW w:w="3969" w:type="dxa"/>
          </w:tcPr>
          <w:p w14:paraId="4AE38063" w14:textId="77777777" w:rsidR="00B428DF" w:rsidRPr="000F0625" w:rsidRDefault="00B428DF" w:rsidP="00080905">
            <w:pPr>
              <w:spacing w:line="480" w:lineRule="auto"/>
              <w:rPr>
                <w:b/>
                <w:lang w:val="en-GB"/>
              </w:rPr>
            </w:pPr>
            <w:r w:rsidRPr="000F0625">
              <w:rPr>
                <w:b/>
                <w:lang w:val="en-GB"/>
              </w:rPr>
              <w:t>Reference</w:t>
            </w:r>
          </w:p>
        </w:tc>
      </w:tr>
      <w:tr w:rsidR="00B428DF" w:rsidRPr="000F0625" w14:paraId="27CA27AC" w14:textId="77777777" w:rsidTr="00080905">
        <w:trPr>
          <w:trHeight w:val="296"/>
        </w:trPr>
        <w:tc>
          <w:tcPr>
            <w:tcW w:w="2192" w:type="dxa"/>
          </w:tcPr>
          <w:p w14:paraId="5298C067" w14:textId="77777777" w:rsidR="00B428DF" w:rsidRPr="000F0625" w:rsidRDefault="00B428DF" w:rsidP="00080905">
            <w:pPr>
              <w:spacing w:line="480" w:lineRule="auto"/>
              <w:rPr>
                <w:lang w:val="en-GB"/>
              </w:rPr>
            </w:pPr>
            <w:r w:rsidRPr="000F0625">
              <w:rPr>
                <w:lang w:val="en-GB"/>
              </w:rPr>
              <w:t>Quality of life</w:t>
            </w:r>
          </w:p>
          <w:p w14:paraId="491A18FE" w14:textId="77777777" w:rsidR="00B428DF" w:rsidRPr="000F0625" w:rsidRDefault="00B428DF" w:rsidP="00080905">
            <w:pPr>
              <w:spacing w:line="480" w:lineRule="auto"/>
              <w:rPr>
                <w:lang w:val="en-GB"/>
              </w:rPr>
            </w:pPr>
            <w:r w:rsidRPr="000F0625">
              <w:rPr>
                <w:lang w:val="en-GB"/>
              </w:rPr>
              <w:t>Branding &amp; tourism</w:t>
            </w:r>
          </w:p>
        </w:tc>
        <w:tc>
          <w:tcPr>
            <w:tcW w:w="1997" w:type="dxa"/>
          </w:tcPr>
          <w:p w14:paraId="093D9F7E" w14:textId="77777777" w:rsidR="00B428DF" w:rsidRDefault="00B428DF" w:rsidP="00080905">
            <w:pPr>
              <w:spacing w:line="480" w:lineRule="auto"/>
              <w:jc w:val="right"/>
              <w:rPr>
                <w:lang w:val="en-GB"/>
              </w:rPr>
            </w:pPr>
            <w:r>
              <w:rPr>
                <w:lang w:val="en-GB"/>
              </w:rPr>
              <w:t>?</w:t>
            </w:r>
          </w:p>
          <w:p w14:paraId="1C1C68BC" w14:textId="77777777" w:rsidR="00B428DF" w:rsidRPr="000F0625" w:rsidRDefault="00B428DF" w:rsidP="00080905">
            <w:pPr>
              <w:spacing w:line="480" w:lineRule="auto"/>
              <w:jc w:val="right"/>
              <w:rPr>
                <w:lang w:val="en-GB"/>
              </w:rPr>
            </w:pPr>
            <w:r>
              <w:rPr>
                <w:lang w:val="en-GB"/>
              </w:rPr>
              <w:t>?</w:t>
            </w:r>
          </w:p>
        </w:tc>
        <w:tc>
          <w:tcPr>
            <w:tcW w:w="1481" w:type="dxa"/>
          </w:tcPr>
          <w:p w14:paraId="08EAC479" w14:textId="77777777" w:rsidR="00B428DF" w:rsidRDefault="00B428DF" w:rsidP="00080905">
            <w:pPr>
              <w:spacing w:line="480" w:lineRule="auto"/>
              <w:jc w:val="right"/>
              <w:rPr>
                <w:lang w:val="en-GB"/>
              </w:rPr>
            </w:pPr>
            <w:r>
              <w:rPr>
                <w:lang w:val="en-GB"/>
              </w:rPr>
              <w:t>?</w:t>
            </w:r>
          </w:p>
          <w:p w14:paraId="31801712" w14:textId="77777777" w:rsidR="00B428DF" w:rsidRPr="000F0625" w:rsidRDefault="00B428DF" w:rsidP="00080905">
            <w:pPr>
              <w:spacing w:line="480" w:lineRule="auto"/>
              <w:jc w:val="right"/>
              <w:rPr>
                <w:lang w:val="en-GB"/>
              </w:rPr>
            </w:pPr>
            <w:r>
              <w:rPr>
                <w:lang w:val="en-GB"/>
              </w:rPr>
              <w:t>?</w:t>
            </w:r>
          </w:p>
        </w:tc>
        <w:tc>
          <w:tcPr>
            <w:tcW w:w="3969" w:type="dxa"/>
          </w:tcPr>
          <w:p w14:paraId="1A01E176" w14:textId="77777777" w:rsidR="00B428DF" w:rsidRDefault="00B428DF" w:rsidP="00080905">
            <w:pPr>
              <w:spacing w:line="480" w:lineRule="auto"/>
              <w:rPr>
                <w:lang w:val="en-GB"/>
              </w:rPr>
            </w:pPr>
            <w:r w:rsidRPr="000F0625">
              <w:rPr>
                <w:lang w:val="en-GB"/>
              </w:rPr>
              <w:t>-</w:t>
            </w:r>
          </w:p>
          <w:p w14:paraId="55333020" w14:textId="77777777" w:rsidR="00B428DF" w:rsidRPr="000F0625" w:rsidRDefault="00B428DF" w:rsidP="00080905">
            <w:pPr>
              <w:spacing w:line="480" w:lineRule="auto"/>
              <w:rPr>
                <w:lang w:val="en-GB"/>
              </w:rPr>
            </w:pPr>
            <w:r>
              <w:rPr>
                <w:lang w:val="en-GB"/>
              </w:rPr>
              <w:t>-</w:t>
            </w:r>
          </w:p>
        </w:tc>
      </w:tr>
      <w:tr w:rsidR="00B428DF" w:rsidRPr="000F0625" w14:paraId="2228BA71" w14:textId="77777777" w:rsidTr="00080905">
        <w:tc>
          <w:tcPr>
            <w:tcW w:w="2192" w:type="dxa"/>
          </w:tcPr>
          <w:p w14:paraId="1160C87B" w14:textId="77777777" w:rsidR="00B428DF" w:rsidRPr="000F0625" w:rsidRDefault="00B428DF" w:rsidP="00080905">
            <w:pPr>
              <w:spacing w:line="480" w:lineRule="auto"/>
              <w:rPr>
                <w:b/>
                <w:lang w:val="en-GB"/>
              </w:rPr>
            </w:pPr>
            <w:r w:rsidRPr="000F0625">
              <w:rPr>
                <w:b/>
                <w:lang w:val="en-GB"/>
              </w:rPr>
              <w:t xml:space="preserve">Assessment </w:t>
            </w:r>
            <w:r>
              <w:rPr>
                <w:b/>
                <w:lang w:val="en-GB"/>
              </w:rPr>
              <w:t>Walking</w:t>
            </w:r>
          </w:p>
        </w:tc>
        <w:tc>
          <w:tcPr>
            <w:tcW w:w="1997" w:type="dxa"/>
          </w:tcPr>
          <w:p w14:paraId="48F7C5BD" w14:textId="77777777" w:rsidR="00B428DF" w:rsidRPr="000F0625" w:rsidRDefault="00B428DF" w:rsidP="00080905">
            <w:pPr>
              <w:spacing w:line="480" w:lineRule="auto"/>
              <w:rPr>
                <w:b/>
                <w:lang w:val="en-GB"/>
              </w:rPr>
            </w:pPr>
            <w:r>
              <w:rPr>
                <w:b/>
                <w:lang w:val="en-GB"/>
              </w:rPr>
              <w:t>Cost external</w:t>
            </w:r>
          </w:p>
        </w:tc>
        <w:tc>
          <w:tcPr>
            <w:tcW w:w="1481" w:type="dxa"/>
          </w:tcPr>
          <w:p w14:paraId="6469C032" w14:textId="77777777" w:rsidR="00B428DF" w:rsidRPr="000F0625" w:rsidRDefault="00B428DF" w:rsidP="00080905">
            <w:pPr>
              <w:spacing w:line="480" w:lineRule="auto"/>
              <w:rPr>
                <w:b/>
                <w:lang w:val="en-GB"/>
              </w:rPr>
            </w:pPr>
            <w:r w:rsidRPr="000F0625">
              <w:rPr>
                <w:b/>
                <w:lang w:val="en-GB"/>
              </w:rPr>
              <w:t>Cost private</w:t>
            </w:r>
          </w:p>
        </w:tc>
        <w:tc>
          <w:tcPr>
            <w:tcW w:w="3969" w:type="dxa"/>
          </w:tcPr>
          <w:p w14:paraId="47FF2484" w14:textId="77777777" w:rsidR="00B428DF" w:rsidRPr="000F0625" w:rsidRDefault="00B428DF" w:rsidP="00080905">
            <w:pPr>
              <w:spacing w:line="480" w:lineRule="auto"/>
              <w:rPr>
                <w:b/>
                <w:lang w:val="en-GB"/>
              </w:rPr>
            </w:pPr>
            <w:r w:rsidRPr="000F0625">
              <w:rPr>
                <w:b/>
                <w:lang w:val="en-GB"/>
              </w:rPr>
              <w:t>Reference</w:t>
            </w:r>
          </w:p>
        </w:tc>
      </w:tr>
      <w:tr w:rsidR="00B428DF" w:rsidRPr="000F0625" w14:paraId="18C4FDA5" w14:textId="77777777" w:rsidTr="00080905">
        <w:trPr>
          <w:trHeight w:val="296"/>
        </w:trPr>
        <w:tc>
          <w:tcPr>
            <w:tcW w:w="2192" w:type="dxa"/>
          </w:tcPr>
          <w:p w14:paraId="0F853667" w14:textId="77777777" w:rsidR="00B428DF" w:rsidRPr="000F0625" w:rsidRDefault="00B428DF" w:rsidP="00080905">
            <w:pPr>
              <w:spacing w:line="480" w:lineRule="auto"/>
              <w:rPr>
                <w:lang w:val="en-GB"/>
              </w:rPr>
            </w:pPr>
            <w:r w:rsidRPr="000F0625">
              <w:rPr>
                <w:lang w:val="en-GB"/>
              </w:rPr>
              <w:t>Quality of life</w:t>
            </w:r>
          </w:p>
          <w:p w14:paraId="0484CD7C" w14:textId="77777777" w:rsidR="00B428DF" w:rsidRPr="000F0625" w:rsidRDefault="00B428DF" w:rsidP="00080905">
            <w:pPr>
              <w:spacing w:line="480" w:lineRule="auto"/>
              <w:rPr>
                <w:lang w:val="en-GB"/>
              </w:rPr>
            </w:pPr>
            <w:r w:rsidRPr="000F0625">
              <w:rPr>
                <w:lang w:val="en-GB"/>
              </w:rPr>
              <w:t>Branding &amp; tourism</w:t>
            </w:r>
          </w:p>
        </w:tc>
        <w:tc>
          <w:tcPr>
            <w:tcW w:w="1997" w:type="dxa"/>
          </w:tcPr>
          <w:p w14:paraId="75CBCD22" w14:textId="77777777" w:rsidR="00B428DF" w:rsidRDefault="00B428DF" w:rsidP="00080905">
            <w:pPr>
              <w:spacing w:line="480" w:lineRule="auto"/>
              <w:jc w:val="right"/>
              <w:rPr>
                <w:lang w:val="en-GB"/>
              </w:rPr>
            </w:pPr>
            <w:r>
              <w:rPr>
                <w:lang w:val="en-GB"/>
              </w:rPr>
              <w:t>?</w:t>
            </w:r>
          </w:p>
          <w:p w14:paraId="26898F4F" w14:textId="77777777" w:rsidR="00B428DF" w:rsidRPr="000F0625" w:rsidRDefault="00B428DF" w:rsidP="00080905">
            <w:pPr>
              <w:spacing w:line="480" w:lineRule="auto"/>
              <w:jc w:val="right"/>
              <w:rPr>
                <w:lang w:val="en-GB"/>
              </w:rPr>
            </w:pPr>
            <w:r>
              <w:rPr>
                <w:lang w:val="en-GB"/>
              </w:rPr>
              <w:t>?</w:t>
            </w:r>
          </w:p>
        </w:tc>
        <w:tc>
          <w:tcPr>
            <w:tcW w:w="1481" w:type="dxa"/>
          </w:tcPr>
          <w:p w14:paraId="064B8A37" w14:textId="77777777" w:rsidR="00B428DF" w:rsidRDefault="00B428DF" w:rsidP="00080905">
            <w:pPr>
              <w:spacing w:line="480" w:lineRule="auto"/>
              <w:jc w:val="right"/>
              <w:rPr>
                <w:lang w:val="en-GB"/>
              </w:rPr>
            </w:pPr>
            <w:r w:rsidRPr="000F0625">
              <w:rPr>
                <w:lang w:val="en-GB"/>
              </w:rPr>
              <w:t>?</w:t>
            </w:r>
          </w:p>
          <w:p w14:paraId="1B022285" w14:textId="77777777" w:rsidR="00B428DF" w:rsidRPr="000F0625" w:rsidRDefault="00B428DF" w:rsidP="00080905">
            <w:pPr>
              <w:spacing w:line="480" w:lineRule="auto"/>
              <w:jc w:val="right"/>
              <w:rPr>
                <w:lang w:val="en-GB"/>
              </w:rPr>
            </w:pPr>
            <w:r>
              <w:rPr>
                <w:lang w:val="en-GB"/>
              </w:rPr>
              <w:t>?</w:t>
            </w:r>
          </w:p>
        </w:tc>
        <w:tc>
          <w:tcPr>
            <w:tcW w:w="3969" w:type="dxa"/>
          </w:tcPr>
          <w:p w14:paraId="3BF3072F" w14:textId="77777777" w:rsidR="00B428DF" w:rsidRDefault="00B428DF" w:rsidP="00080905">
            <w:pPr>
              <w:spacing w:line="480" w:lineRule="auto"/>
              <w:rPr>
                <w:lang w:val="en-GB"/>
              </w:rPr>
            </w:pPr>
            <w:r w:rsidRPr="000F0625">
              <w:rPr>
                <w:lang w:val="en-GB"/>
              </w:rPr>
              <w:t>-</w:t>
            </w:r>
          </w:p>
          <w:p w14:paraId="756758C2" w14:textId="77777777" w:rsidR="00B428DF" w:rsidRPr="000F0625" w:rsidRDefault="00B428DF" w:rsidP="00080905">
            <w:pPr>
              <w:spacing w:line="480" w:lineRule="auto"/>
              <w:rPr>
                <w:lang w:val="en-GB"/>
              </w:rPr>
            </w:pPr>
            <w:r>
              <w:rPr>
                <w:lang w:val="en-GB"/>
              </w:rPr>
              <w:t>-</w:t>
            </w:r>
          </w:p>
        </w:tc>
      </w:tr>
    </w:tbl>
    <w:p w14:paraId="58435D76" w14:textId="77777777" w:rsidR="00B428DF" w:rsidRPr="000F0625" w:rsidRDefault="00B428DF" w:rsidP="00B428DF">
      <w:pPr>
        <w:spacing w:line="480" w:lineRule="auto"/>
      </w:pPr>
    </w:p>
    <w:p w14:paraId="2B654C63" w14:textId="77777777" w:rsidR="00B428DF" w:rsidRPr="000F0625" w:rsidRDefault="00B428DF" w:rsidP="00B428DF">
      <w:pPr>
        <w:spacing w:line="480" w:lineRule="auto"/>
      </w:pPr>
    </w:p>
    <w:p w14:paraId="25573B3A" w14:textId="77777777" w:rsidR="00B428DF" w:rsidRPr="00870589" w:rsidRDefault="00B428DF" w:rsidP="00901DF3">
      <w:pPr>
        <w:spacing w:line="480" w:lineRule="auto"/>
        <w:rPr>
          <w:bCs/>
        </w:rPr>
      </w:pPr>
    </w:p>
    <w:sectPr w:rsidR="00B428DF" w:rsidRPr="00870589" w:rsidSect="00917678">
      <w:footerReference w:type="even" r:id="rId39"/>
      <w:footerReference w:type="default" r:id="rId4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60CDE" w14:textId="77777777" w:rsidR="00080905" w:rsidRDefault="00080905" w:rsidP="00906AA1">
      <w:r>
        <w:separator/>
      </w:r>
    </w:p>
  </w:endnote>
  <w:endnote w:type="continuationSeparator" w:id="0">
    <w:p w14:paraId="593A5FCE" w14:textId="77777777" w:rsidR="00080905" w:rsidRDefault="00080905" w:rsidP="0090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27AD" w14:textId="77777777" w:rsidR="00080905" w:rsidRDefault="00080905" w:rsidP="00E34B36">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ABE28C" w14:textId="77777777" w:rsidR="00080905" w:rsidRDefault="000809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B226" w14:textId="77777777" w:rsidR="00080905" w:rsidRDefault="00080905" w:rsidP="00E34B36">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A1AFE">
      <w:rPr>
        <w:rStyle w:val="Paginanummer"/>
        <w:noProof/>
      </w:rPr>
      <w:t>9</w:t>
    </w:r>
    <w:r>
      <w:rPr>
        <w:rStyle w:val="Paginanummer"/>
      </w:rPr>
      <w:fldChar w:fldCharType="end"/>
    </w:r>
  </w:p>
  <w:p w14:paraId="3D332B14" w14:textId="77777777" w:rsidR="00080905" w:rsidRDefault="000809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0FA95" w14:textId="77777777" w:rsidR="00080905" w:rsidRDefault="00080905" w:rsidP="00906AA1">
      <w:r>
        <w:separator/>
      </w:r>
    </w:p>
  </w:footnote>
  <w:footnote w:type="continuationSeparator" w:id="0">
    <w:p w14:paraId="7831B301" w14:textId="77777777" w:rsidR="00080905" w:rsidRDefault="00080905" w:rsidP="0090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70118"/>
    <w:multiLevelType w:val="hybridMultilevel"/>
    <w:tmpl w:val="2976EC14"/>
    <w:lvl w:ilvl="0" w:tplc="03729060">
      <w:start w:val="14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0777BE"/>
    <w:multiLevelType w:val="hybridMultilevel"/>
    <w:tmpl w:val="6F02FAC8"/>
    <w:lvl w:ilvl="0" w:tplc="93A82B2A">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F7103"/>
    <w:multiLevelType w:val="hybridMultilevel"/>
    <w:tmpl w:val="5C1C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804D36"/>
    <w:multiLevelType w:val="hybridMultilevel"/>
    <w:tmpl w:val="0C348B00"/>
    <w:lvl w:ilvl="0" w:tplc="60F63274">
      <w:numFmt w:val="bullet"/>
      <w:lvlText w:val=""/>
      <w:lvlJc w:val="left"/>
      <w:pPr>
        <w:ind w:left="720" w:hanging="360"/>
      </w:pPr>
      <w:rPr>
        <w:rFonts w:ascii="Wingdings" w:eastAsiaTheme="minorEastAsia" w:hAnsi="Wingding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14477A5"/>
    <w:multiLevelType w:val="hybridMultilevel"/>
    <w:tmpl w:val="78EC9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022AB6"/>
    <w:multiLevelType w:val="hybridMultilevel"/>
    <w:tmpl w:val="D4820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69194E"/>
    <w:multiLevelType w:val="hybridMultilevel"/>
    <w:tmpl w:val="1D26B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E94747F"/>
    <w:multiLevelType w:val="multilevel"/>
    <w:tmpl w:val="19DE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6A3022"/>
    <w:multiLevelType w:val="hybridMultilevel"/>
    <w:tmpl w:val="030A18C8"/>
    <w:lvl w:ilvl="0" w:tplc="8B88461C">
      <w:start w:val="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6D0812"/>
    <w:multiLevelType w:val="hybridMultilevel"/>
    <w:tmpl w:val="8D207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E223B2"/>
    <w:multiLevelType w:val="hybridMultilevel"/>
    <w:tmpl w:val="368A9D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4BB018B"/>
    <w:multiLevelType w:val="hybridMultilevel"/>
    <w:tmpl w:val="7F008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251757"/>
    <w:multiLevelType w:val="hybridMultilevel"/>
    <w:tmpl w:val="11E85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E745AF"/>
    <w:multiLevelType w:val="multilevel"/>
    <w:tmpl w:val="3858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DF59CB"/>
    <w:multiLevelType w:val="hybridMultilevel"/>
    <w:tmpl w:val="3F84123E"/>
    <w:lvl w:ilvl="0" w:tplc="9E06BB12">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4D7ED5"/>
    <w:multiLevelType w:val="hybridMultilevel"/>
    <w:tmpl w:val="494669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7F2CD3"/>
    <w:multiLevelType w:val="hybridMultilevel"/>
    <w:tmpl w:val="919C9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7"/>
  </w:num>
  <w:num w:numId="5">
    <w:abstractNumId w:val="4"/>
  </w:num>
  <w:num w:numId="6">
    <w:abstractNumId w:val="12"/>
  </w:num>
  <w:num w:numId="7">
    <w:abstractNumId w:val="17"/>
  </w:num>
  <w:num w:numId="8">
    <w:abstractNumId w:val="15"/>
  </w:num>
  <w:num w:numId="9">
    <w:abstractNumId w:val="16"/>
  </w:num>
  <w:num w:numId="10">
    <w:abstractNumId w:val="3"/>
  </w:num>
  <w:num w:numId="11">
    <w:abstractNumId w:val="8"/>
  </w:num>
  <w:num w:numId="12">
    <w:abstractNumId w:val="2"/>
  </w:num>
  <w:num w:numId="13">
    <w:abstractNumId w:val="13"/>
  </w:num>
  <w:num w:numId="14">
    <w:abstractNumId w:val="5"/>
  </w:num>
  <w:num w:numId="15">
    <w:abstractNumId w:val="11"/>
  </w:num>
  <w:num w:numId="16">
    <w:abstractNumId w:val="18"/>
  </w:num>
  <w:num w:numId="17">
    <w:abstractNumId w:val="9"/>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80"/>
    <w:rsid w:val="00001D03"/>
    <w:rsid w:val="00002FF7"/>
    <w:rsid w:val="00003CD2"/>
    <w:rsid w:val="00005929"/>
    <w:rsid w:val="00010DF3"/>
    <w:rsid w:val="00012786"/>
    <w:rsid w:val="00012B36"/>
    <w:rsid w:val="00013093"/>
    <w:rsid w:val="0001390B"/>
    <w:rsid w:val="00013B3D"/>
    <w:rsid w:val="00014D2E"/>
    <w:rsid w:val="00015302"/>
    <w:rsid w:val="00015842"/>
    <w:rsid w:val="00015917"/>
    <w:rsid w:val="00015B97"/>
    <w:rsid w:val="000169E3"/>
    <w:rsid w:val="00016BD4"/>
    <w:rsid w:val="000172EA"/>
    <w:rsid w:val="00017517"/>
    <w:rsid w:val="000177C9"/>
    <w:rsid w:val="00017D42"/>
    <w:rsid w:val="00017D4A"/>
    <w:rsid w:val="00020E88"/>
    <w:rsid w:val="00021899"/>
    <w:rsid w:val="00022D01"/>
    <w:rsid w:val="00023C66"/>
    <w:rsid w:val="00023D74"/>
    <w:rsid w:val="00024692"/>
    <w:rsid w:val="0002548E"/>
    <w:rsid w:val="0002550B"/>
    <w:rsid w:val="00025C28"/>
    <w:rsid w:val="00025CDD"/>
    <w:rsid w:val="00030368"/>
    <w:rsid w:val="000321E3"/>
    <w:rsid w:val="0003253D"/>
    <w:rsid w:val="000367E5"/>
    <w:rsid w:val="000372B4"/>
    <w:rsid w:val="0004242E"/>
    <w:rsid w:val="000425E0"/>
    <w:rsid w:val="00042A28"/>
    <w:rsid w:val="00042E54"/>
    <w:rsid w:val="00043143"/>
    <w:rsid w:val="00043550"/>
    <w:rsid w:val="00045699"/>
    <w:rsid w:val="00045A43"/>
    <w:rsid w:val="000468B3"/>
    <w:rsid w:val="00046B34"/>
    <w:rsid w:val="00046C3B"/>
    <w:rsid w:val="00047CCE"/>
    <w:rsid w:val="000510F3"/>
    <w:rsid w:val="00051FE8"/>
    <w:rsid w:val="0005271E"/>
    <w:rsid w:val="00052C6C"/>
    <w:rsid w:val="00052F3B"/>
    <w:rsid w:val="00053D4F"/>
    <w:rsid w:val="0005401B"/>
    <w:rsid w:val="00055117"/>
    <w:rsid w:val="000552E9"/>
    <w:rsid w:val="00055A71"/>
    <w:rsid w:val="00057B16"/>
    <w:rsid w:val="00061D48"/>
    <w:rsid w:val="00062C1C"/>
    <w:rsid w:val="00062D5B"/>
    <w:rsid w:val="00063D54"/>
    <w:rsid w:val="00063ED1"/>
    <w:rsid w:val="000648F9"/>
    <w:rsid w:val="0006492E"/>
    <w:rsid w:val="00064A4F"/>
    <w:rsid w:val="00065AD6"/>
    <w:rsid w:val="00066370"/>
    <w:rsid w:val="00066BC8"/>
    <w:rsid w:val="00066E9A"/>
    <w:rsid w:val="000703E3"/>
    <w:rsid w:val="0007080A"/>
    <w:rsid w:val="00070A75"/>
    <w:rsid w:val="00072803"/>
    <w:rsid w:val="00072D06"/>
    <w:rsid w:val="000735BA"/>
    <w:rsid w:val="00074789"/>
    <w:rsid w:val="0007630E"/>
    <w:rsid w:val="0007647A"/>
    <w:rsid w:val="0008037C"/>
    <w:rsid w:val="00080905"/>
    <w:rsid w:val="00082EC4"/>
    <w:rsid w:val="00085040"/>
    <w:rsid w:val="000861EF"/>
    <w:rsid w:val="00086360"/>
    <w:rsid w:val="00086DD0"/>
    <w:rsid w:val="0008719C"/>
    <w:rsid w:val="00087698"/>
    <w:rsid w:val="000915B6"/>
    <w:rsid w:val="0009264A"/>
    <w:rsid w:val="00094292"/>
    <w:rsid w:val="00094B8E"/>
    <w:rsid w:val="00095980"/>
    <w:rsid w:val="00097AAC"/>
    <w:rsid w:val="000A1EAA"/>
    <w:rsid w:val="000A28EF"/>
    <w:rsid w:val="000A33C0"/>
    <w:rsid w:val="000A3972"/>
    <w:rsid w:val="000A5DE6"/>
    <w:rsid w:val="000A6B6F"/>
    <w:rsid w:val="000A6BA9"/>
    <w:rsid w:val="000A76AE"/>
    <w:rsid w:val="000A7FC8"/>
    <w:rsid w:val="000B0E16"/>
    <w:rsid w:val="000B1527"/>
    <w:rsid w:val="000B175D"/>
    <w:rsid w:val="000B3A80"/>
    <w:rsid w:val="000B431A"/>
    <w:rsid w:val="000B4D0F"/>
    <w:rsid w:val="000B4D7A"/>
    <w:rsid w:val="000B6D95"/>
    <w:rsid w:val="000B74C5"/>
    <w:rsid w:val="000C053F"/>
    <w:rsid w:val="000C0741"/>
    <w:rsid w:val="000C08C5"/>
    <w:rsid w:val="000C0A2B"/>
    <w:rsid w:val="000C2228"/>
    <w:rsid w:val="000C2525"/>
    <w:rsid w:val="000C34F7"/>
    <w:rsid w:val="000C3C65"/>
    <w:rsid w:val="000C3DBF"/>
    <w:rsid w:val="000C3E63"/>
    <w:rsid w:val="000C4882"/>
    <w:rsid w:val="000C4A88"/>
    <w:rsid w:val="000C6077"/>
    <w:rsid w:val="000C761D"/>
    <w:rsid w:val="000C7DD6"/>
    <w:rsid w:val="000D086B"/>
    <w:rsid w:val="000D0977"/>
    <w:rsid w:val="000D1E3D"/>
    <w:rsid w:val="000D2F1A"/>
    <w:rsid w:val="000D40B9"/>
    <w:rsid w:val="000D5839"/>
    <w:rsid w:val="000D5ABD"/>
    <w:rsid w:val="000D6680"/>
    <w:rsid w:val="000D7004"/>
    <w:rsid w:val="000D7F0D"/>
    <w:rsid w:val="000E0192"/>
    <w:rsid w:val="000E09C8"/>
    <w:rsid w:val="000E1D60"/>
    <w:rsid w:val="000E36E5"/>
    <w:rsid w:val="000E3B32"/>
    <w:rsid w:val="000E3C08"/>
    <w:rsid w:val="000E4111"/>
    <w:rsid w:val="000E411F"/>
    <w:rsid w:val="000E440C"/>
    <w:rsid w:val="000E4E70"/>
    <w:rsid w:val="000E6F85"/>
    <w:rsid w:val="000E7759"/>
    <w:rsid w:val="000F02A3"/>
    <w:rsid w:val="000F2328"/>
    <w:rsid w:val="000F3124"/>
    <w:rsid w:val="000F34FD"/>
    <w:rsid w:val="000F7B93"/>
    <w:rsid w:val="00101B6D"/>
    <w:rsid w:val="00102D1E"/>
    <w:rsid w:val="0010359C"/>
    <w:rsid w:val="0010469D"/>
    <w:rsid w:val="00104927"/>
    <w:rsid w:val="00104AFE"/>
    <w:rsid w:val="001051A3"/>
    <w:rsid w:val="0010577C"/>
    <w:rsid w:val="00105FC5"/>
    <w:rsid w:val="001074E5"/>
    <w:rsid w:val="001101E0"/>
    <w:rsid w:val="00110363"/>
    <w:rsid w:val="00111E48"/>
    <w:rsid w:val="00113324"/>
    <w:rsid w:val="00113362"/>
    <w:rsid w:val="00113586"/>
    <w:rsid w:val="00116B1F"/>
    <w:rsid w:val="00117000"/>
    <w:rsid w:val="00117142"/>
    <w:rsid w:val="001174DD"/>
    <w:rsid w:val="001174FE"/>
    <w:rsid w:val="001176CD"/>
    <w:rsid w:val="00117779"/>
    <w:rsid w:val="001217EA"/>
    <w:rsid w:val="001226CD"/>
    <w:rsid w:val="00123B4B"/>
    <w:rsid w:val="00123EC4"/>
    <w:rsid w:val="001242D2"/>
    <w:rsid w:val="001255CD"/>
    <w:rsid w:val="00125BBE"/>
    <w:rsid w:val="00125C7D"/>
    <w:rsid w:val="00125E32"/>
    <w:rsid w:val="00125F23"/>
    <w:rsid w:val="00127264"/>
    <w:rsid w:val="001303A4"/>
    <w:rsid w:val="00130F79"/>
    <w:rsid w:val="00132209"/>
    <w:rsid w:val="00132BA3"/>
    <w:rsid w:val="001332A8"/>
    <w:rsid w:val="00133377"/>
    <w:rsid w:val="001342E6"/>
    <w:rsid w:val="0013600C"/>
    <w:rsid w:val="001361F2"/>
    <w:rsid w:val="00137239"/>
    <w:rsid w:val="00137860"/>
    <w:rsid w:val="00137ADF"/>
    <w:rsid w:val="00137C5B"/>
    <w:rsid w:val="001402DD"/>
    <w:rsid w:val="00141FD2"/>
    <w:rsid w:val="00144526"/>
    <w:rsid w:val="0014501E"/>
    <w:rsid w:val="00145474"/>
    <w:rsid w:val="00145A05"/>
    <w:rsid w:val="00145C53"/>
    <w:rsid w:val="00146912"/>
    <w:rsid w:val="00146F14"/>
    <w:rsid w:val="00147A80"/>
    <w:rsid w:val="00151ED7"/>
    <w:rsid w:val="00153671"/>
    <w:rsid w:val="00153D7A"/>
    <w:rsid w:val="001546B0"/>
    <w:rsid w:val="00155BBF"/>
    <w:rsid w:val="00155D2F"/>
    <w:rsid w:val="00155FD2"/>
    <w:rsid w:val="0015706B"/>
    <w:rsid w:val="00157337"/>
    <w:rsid w:val="00157F82"/>
    <w:rsid w:val="001601A1"/>
    <w:rsid w:val="001609E3"/>
    <w:rsid w:val="00160E0D"/>
    <w:rsid w:val="0016135D"/>
    <w:rsid w:val="00163374"/>
    <w:rsid w:val="00163734"/>
    <w:rsid w:val="001657D2"/>
    <w:rsid w:val="00165F08"/>
    <w:rsid w:val="00166717"/>
    <w:rsid w:val="0016687D"/>
    <w:rsid w:val="00166CF3"/>
    <w:rsid w:val="00167A0C"/>
    <w:rsid w:val="00170104"/>
    <w:rsid w:val="00171B2F"/>
    <w:rsid w:val="001723E7"/>
    <w:rsid w:val="00172FEC"/>
    <w:rsid w:val="00174368"/>
    <w:rsid w:val="0017447D"/>
    <w:rsid w:val="00174C60"/>
    <w:rsid w:val="00175050"/>
    <w:rsid w:val="00175095"/>
    <w:rsid w:val="00175B31"/>
    <w:rsid w:val="00177419"/>
    <w:rsid w:val="00177B38"/>
    <w:rsid w:val="0018073C"/>
    <w:rsid w:val="001815A0"/>
    <w:rsid w:val="001816E9"/>
    <w:rsid w:val="00181C7C"/>
    <w:rsid w:val="001846D7"/>
    <w:rsid w:val="001854AF"/>
    <w:rsid w:val="00185CA3"/>
    <w:rsid w:val="0018676C"/>
    <w:rsid w:val="00186CE9"/>
    <w:rsid w:val="00186F58"/>
    <w:rsid w:val="00187FF7"/>
    <w:rsid w:val="001920CC"/>
    <w:rsid w:val="00193F9A"/>
    <w:rsid w:val="001940B8"/>
    <w:rsid w:val="0019554B"/>
    <w:rsid w:val="00195EDB"/>
    <w:rsid w:val="00196D36"/>
    <w:rsid w:val="00196EDE"/>
    <w:rsid w:val="00197DCE"/>
    <w:rsid w:val="00197F30"/>
    <w:rsid w:val="001A0151"/>
    <w:rsid w:val="001A0FB1"/>
    <w:rsid w:val="001A1AFE"/>
    <w:rsid w:val="001A1D79"/>
    <w:rsid w:val="001A33E6"/>
    <w:rsid w:val="001A47B3"/>
    <w:rsid w:val="001A5028"/>
    <w:rsid w:val="001A5A13"/>
    <w:rsid w:val="001B0014"/>
    <w:rsid w:val="001B1C04"/>
    <w:rsid w:val="001B2445"/>
    <w:rsid w:val="001B382E"/>
    <w:rsid w:val="001B5017"/>
    <w:rsid w:val="001B57BB"/>
    <w:rsid w:val="001B5C24"/>
    <w:rsid w:val="001B68B1"/>
    <w:rsid w:val="001B68B5"/>
    <w:rsid w:val="001B6A07"/>
    <w:rsid w:val="001B7207"/>
    <w:rsid w:val="001B74CF"/>
    <w:rsid w:val="001C0A08"/>
    <w:rsid w:val="001C0CEE"/>
    <w:rsid w:val="001C1CC8"/>
    <w:rsid w:val="001C1FF1"/>
    <w:rsid w:val="001C3628"/>
    <w:rsid w:val="001C4758"/>
    <w:rsid w:val="001C4B98"/>
    <w:rsid w:val="001C5798"/>
    <w:rsid w:val="001C5996"/>
    <w:rsid w:val="001C5C33"/>
    <w:rsid w:val="001D05A9"/>
    <w:rsid w:val="001D08C4"/>
    <w:rsid w:val="001D0C90"/>
    <w:rsid w:val="001D131D"/>
    <w:rsid w:val="001D13AB"/>
    <w:rsid w:val="001D1B55"/>
    <w:rsid w:val="001D277C"/>
    <w:rsid w:val="001D2BBA"/>
    <w:rsid w:val="001D3005"/>
    <w:rsid w:val="001D3068"/>
    <w:rsid w:val="001D5BAE"/>
    <w:rsid w:val="001D7382"/>
    <w:rsid w:val="001D7B4A"/>
    <w:rsid w:val="001D7B74"/>
    <w:rsid w:val="001D7BAC"/>
    <w:rsid w:val="001E1748"/>
    <w:rsid w:val="001E3C31"/>
    <w:rsid w:val="001E60C2"/>
    <w:rsid w:val="001E6F5F"/>
    <w:rsid w:val="001E7232"/>
    <w:rsid w:val="001E7DF1"/>
    <w:rsid w:val="001E7ECA"/>
    <w:rsid w:val="001F0CDB"/>
    <w:rsid w:val="001F1588"/>
    <w:rsid w:val="001F2469"/>
    <w:rsid w:val="001F2EFA"/>
    <w:rsid w:val="001F3357"/>
    <w:rsid w:val="001F3BDA"/>
    <w:rsid w:val="001F3F3E"/>
    <w:rsid w:val="001F48BD"/>
    <w:rsid w:val="001F4C08"/>
    <w:rsid w:val="001F4F9D"/>
    <w:rsid w:val="001F6894"/>
    <w:rsid w:val="001F710A"/>
    <w:rsid w:val="001F73A1"/>
    <w:rsid w:val="001F7A3B"/>
    <w:rsid w:val="00200769"/>
    <w:rsid w:val="00201AF4"/>
    <w:rsid w:val="00202274"/>
    <w:rsid w:val="0020257B"/>
    <w:rsid w:val="00202804"/>
    <w:rsid w:val="002030D3"/>
    <w:rsid w:val="002037B7"/>
    <w:rsid w:val="00204579"/>
    <w:rsid w:val="002054BF"/>
    <w:rsid w:val="00205519"/>
    <w:rsid w:val="002072C7"/>
    <w:rsid w:val="002077FC"/>
    <w:rsid w:val="00210B4C"/>
    <w:rsid w:val="00211F04"/>
    <w:rsid w:val="00213154"/>
    <w:rsid w:val="002137A3"/>
    <w:rsid w:val="00215362"/>
    <w:rsid w:val="00215782"/>
    <w:rsid w:val="00215FA3"/>
    <w:rsid w:val="00217EFA"/>
    <w:rsid w:val="00217FB9"/>
    <w:rsid w:val="00220628"/>
    <w:rsid w:val="00220E74"/>
    <w:rsid w:val="0022163D"/>
    <w:rsid w:val="00221ED3"/>
    <w:rsid w:val="00222998"/>
    <w:rsid w:val="002233EE"/>
    <w:rsid w:val="0022347C"/>
    <w:rsid w:val="00223A72"/>
    <w:rsid w:val="0022669F"/>
    <w:rsid w:val="00230B5E"/>
    <w:rsid w:val="00230C57"/>
    <w:rsid w:val="00230C83"/>
    <w:rsid w:val="00231702"/>
    <w:rsid w:val="00231FAD"/>
    <w:rsid w:val="00232ED0"/>
    <w:rsid w:val="002335F5"/>
    <w:rsid w:val="00233854"/>
    <w:rsid w:val="00234972"/>
    <w:rsid w:val="00234B75"/>
    <w:rsid w:val="002355FE"/>
    <w:rsid w:val="00235A8E"/>
    <w:rsid w:val="00236283"/>
    <w:rsid w:val="00236AD6"/>
    <w:rsid w:val="00236CF8"/>
    <w:rsid w:val="00237632"/>
    <w:rsid w:val="00237896"/>
    <w:rsid w:val="00237B14"/>
    <w:rsid w:val="00240185"/>
    <w:rsid w:val="00240696"/>
    <w:rsid w:val="00240EF4"/>
    <w:rsid w:val="002415EB"/>
    <w:rsid w:val="00242294"/>
    <w:rsid w:val="00242CB5"/>
    <w:rsid w:val="0024318F"/>
    <w:rsid w:val="0024319D"/>
    <w:rsid w:val="00243423"/>
    <w:rsid w:val="00243544"/>
    <w:rsid w:val="00243984"/>
    <w:rsid w:val="0024558E"/>
    <w:rsid w:val="0024579A"/>
    <w:rsid w:val="0024585A"/>
    <w:rsid w:val="002468E6"/>
    <w:rsid w:val="00246C2F"/>
    <w:rsid w:val="00247981"/>
    <w:rsid w:val="0025202E"/>
    <w:rsid w:val="002532D1"/>
    <w:rsid w:val="00253D9C"/>
    <w:rsid w:val="0025491E"/>
    <w:rsid w:val="00254EA4"/>
    <w:rsid w:val="00255B72"/>
    <w:rsid w:val="00256184"/>
    <w:rsid w:val="00256A42"/>
    <w:rsid w:val="00257C69"/>
    <w:rsid w:val="00260434"/>
    <w:rsid w:val="00260A2D"/>
    <w:rsid w:val="002626EA"/>
    <w:rsid w:val="0026312E"/>
    <w:rsid w:val="00263148"/>
    <w:rsid w:val="00263634"/>
    <w:rsid w:val="00263A0C"/>
    <w:rsid w:val="00263EE0"/>
    <w:rsid w:val="002641A2"/>
    <w:rsid w:val="00264614"/>
    <w:rsid w:val="002648CD"/>
    <w:rsid w:val="00264E1C"/>
    <w:rsid w:val="0026590D"/>
    <w:rsid w:val="0026620D"/>
    <w:rsid w:val="002701A9"/>
    <w:rsid w:val="00270411"/>
    <w:rsid w:val="002716B3"/>
    <w:rsid w:val="00272D7F"/>
    <w:rsid w:val="00273056"/>
    <w:rsid w:val="0027367A"/>
    <w:rsid w:val="00273A7F"/>
    <w:rsid w:val="00273B31"/>
    <w:rsid w:val="00275D51"/>
    <w:rsid w:val="00280BCB"/>
    <w:rsid w:val="00284966"/>
    <w:rsid w:val="00284D67"/>
    <w:rsid w:val="00285D35"/>
    <w:rsid w:val="00286455"/>
    <w:rsid w:val="00286480"/>
    <w:rsid w:val="00286994"/>
    <w:rsid w:val="00286B09"/>
    <w:rsid w:val="0028777C"/>
    <w:rsid w:val="00290ECA"/>
    <w:rsid w:val="00291424"/>
    <w:rsid w:val="002925B8"/>
    <w:rsid w:val="00293A2C"/>
    <w:rsid w:val="00293E9F"/>
    <w:rsid w:val="002964A8"/>
    <w:rsid w:val="002973FC"/>
    <w:rsid w:val="002A0285"/>
    <w:rsid w:val="002A040F"/>
    <w:rsid w:val="002A0CE9"/>
    <w:rsid w:val="002A1304"/>
    <w:rsid w:val="002A16DF"/>
    <w:rsid w:val="002A1AAC"/>
    <w:rsid w:val="002A1E11"/>
    <w:rsid w:val="002A257A"/>
    <w:rsid w:val="002A2658"/>
    <w:rsid w:val="002A3DB9"/>
    <w:rsid w:val="002B09A1"/>
    <w:rsid w:val="002B1463"/>
    <w:rsid w:val="002B1E17"/>
    <w:rsid w:val="002B4BD2"/>
    <w:rsid w:val="002B5B69"/>
    <w:rsid w:val="002B61CF"/>
    <w:rsid w:val="002C0488"/>
    <w:rsid w:val="002C07E8"/>
    <w:rsid w:val="002C0D62"/>
    <w:rsid w:val="002C10B0"/>
    <w:rsid w:val="002C204C"/>
    <w:rsid w:val="002C2212"/>
    <w:rsid w:val="002C24F4"/>
    <w:rsid w:val="002C3B29"/>
    <w:rsid w:val="002C41E7"/>
    <w:rsid w:val="002C4240"/>
    <w:rsid w:val="002C683E"/>
    <w:rsid w:val="002C7513"/>
    <w:rsid w:val="002D0ACD"/>
    <w:rsid w:val="002D2224"/>
    <w:rsid w:val="002D2C51"/>
    <w:rsid w:val="002D2D4B"/>
    <w:rsid w:val="002D3A09"/>
    <w:rsid w:val="002D50FC"/>
    <w:rsid w:val="002D5A64"/>
    <w:rsid w:val="002D6A2C"/>
    <w:rsid w:val="002D78EC"/>
    <w:rsid w:val="002E00B7"/>
    <w:rsid w:val="002E0AFA"/>
    <w:rsid w:val="002E0E62"/>
    <w:rsid w:val="002E167F"/>
    <w:rsid w:val="002E17FA"/>
    <w:rsid w:val="002E2358"/>
    <w:rsid w:val="002E3358"/>
    <w:rsid w:val="002E3C6C"/>
    <w:rsid w:val="002E5471"/>
    <w:rsid w:val="002E6962"/>
    <w:rsid w:val="002E6FB6"/>
    <w:rsid w:val="002E7E9D"/>
    <w:rsid w:val="002F05D9"/>
    <w:rsid w:val="002F0AF8"/>
    <w:rsid w:val="002F1022"/>
    <w:rsid w:val="002F1484"/>
    <w:rsid w:val="002F1EEA"/>
    <w:rsid w:val="002F3193"/>
    <w:rsid w:val="002F3C30"/>
    <w:rsid w:val="002F46B5"/>
    <w:rsid w:val="002F521A"/>
    <w:rsid w:val="002F6CD8"/>
    <w:rsid w:val="002F701F"/>
    <w:rsid w:val="002F7801"/>
    <w:rsid w:val="002F7F47"/>
    <w:rsid w:val="00300491"/>
    <w:rsid w:val="00301549"/>
    <w:rsid w:val="003022B3"/>
    <w:rsid w:val="00302EC2"/>
    <w:rsid w:val="00303D0B"/>
    <w:rsid w:val="00303DAE"/>
    <w:rsid w:val="00304C4B"/>
    <w:rsid w:val="00305F9E"/>
    <w:rsid w:val="003070B9"/>
    <w:rsid w:val="0031012A"/>
    <w:rsid w:val="00310B69"/>
    <w:rsid w:val="003153FA"/>
    <w:rsid w:val="00315E62"/>
    <w:rsid w:val="00316BD9"/>
    <w:rsid w:val="00320DA2"/>
    <w:rsid w:val="00322288"/>
    <w:rsid w:val="00322B72"/>
    <w:rsid w:val="00322E4C"/>
    <w:rsid w:val="0032303C"/>
    <w:rsid w:val="003237EC"/>
    <w:rsid w:val="00323F37"/>
    <w:rsid w:val="00323FAF"/>
    <w:rsid w:val="00324C58"/>
    <w:rsid w:val="00326BFC"/>
    <w:rsid w:val="003275B1"/>
    <w:rsid w:val="00327C68"/>
    <w:rsid w:val="00331E56"/>
    <w:rsid w:val="00331E80"/>
    <w:rsid w:val="00332A98"/>
    <w:rsid w:val="00332CE9"/>
    <w:rsid w:val="0033449C"/>
    <w:rsid w:val="00335BE4"/>
    <w:rsid w:val="00336A57"/>
    <w:rsid w:val="00337571"/>
    <w:rsid w:val="00337604"/>
    <w:rsid w:val="00337CF8"/>
    <w:rsid w:val="003405C2"/>
    <w:rsid w:val="00340CAC"/>
    <w:rsid w:val="00340DA2"/>
    <w:rsid w:val="00342176"/>
    <w:rsid w:val="003440DE"/>
    <w:rsid w:val="00344457"/>
    <w:rsid w:val="00345E25"/>
    <w:rsid w:val="00346129"/>
    <w:rsid w:val="003468F5"/>
    <w:rsid w:val="0034757B"/>
    <w:rsid w:val="00347F9A"/>
    <w:rsid w:val="00350051"/>
    <w:rsid w:val="00350518"/>
    <w:rsid w:val="0035145A"/>
    <w:rsid w:val="00351834"/>
    <w:rsid w:val="003522B4"/>
    <w:rsid w:val="00352A83"/>
    <w:rsid w:val="003535AA"/>
    <w:rsid w:val="003535E6"/>
    <w:rsid w:val="00355521"/>
    <w:rsid w:val="003568A4"/>
    <w:rsid w:val="0035780E"/>
    <w:rsid w:val="003600F1"/>
    <w:rsid w:val="0036068C"/>
    <w:rsid w:val="003615D6"/>
    <w:rsid w:val="00361CF0"/>
    <w:rsid w:val="003627DC"/>
    <w:rsid w:val="003638D5"/>
    <w:rsid w:val="0036451A"/>
    <w:rsid w:val="00364C9C"/>
    <w:rsid w:val="00367339"/>
    <w:rsid w:val="00370415"/>
    <w:rsid w:val="00371CCC"/>
    <w:rsid w:val="00373CA3"/>
    <w:rsid w:val="00374B8D"/>
    <w:rsid w:val="00374D0D"/>
    <w:rsid w:val="00376664"/>
    <w:rsid w:val="00377DC0"/>
    <w:rsid w:val="003810CC"/>
    <w:rsid w:val="003813DB"/>
    <w:rsid w:val="003822E3"/>
    <w:rsid w:val="00384FE9"/>
    <w:rsid w:val="0038547D"/>
    <w:rsid w:val="003859C0"/>
    <w:rsid w:val="003860C5"/>
    <w:rsid w:val="0038721E"/>
    <w:rsid w:val="003877C1"/>
    <w:rsid w:val="00387952"/>
    <w:rsid w:val="00391903"/>
    <w:rsid w:val="003936DD"/>
    <w:rsid w:val="0039443F"/>
    <w:rsid w:val="00394E5D"/>
    <w:rsid w:val="00396200"/>
    <w:rsid w:val="00396AE7"/>
    <w:rsid w:val="003A0BC8"/>
    <w:rsid w:val="003A2F63"/>
    <w:rsid w:val="003A363C"/>
    <w:rsid w:val="003A50AA"/>
    <w:rsid w:val="003A5383"/>
    <w:rsid w:val="003A59C9"/>
    <w:rsid w:val="003A701B"/>
    <w:rsid w:val="003B030E"/>
    <w:rsid w:val="003B0653"/>
    <w:rsid w:val="003B0927"/>
    <w:rsid w:val="003B228A"/>
    <w:rsid w:val="003B247F"/>
    <w:rsid w:val="003B2E7F"/>
    <w:rsid w:val="003B4959"/>
    <w:rsid w:val="003B7B27"/>
    <w:rsid w:val="003B7B8C"/>
    <w:rsid w:val="003B7BC0"/>
    <w:rsid w:val="003C042D"/>
    <w:rsid w:val="003C0733"/>
    <w:rsid w:val="003C09BD"/>
    <w:rsid w:val="003C19DE"/>
    <w:rsid w:val="003C1BDA"/>
    <w:rsid w:val="003C2BF3"/>
    <w:rsid w:val="003C2C9D"/>
    <w:rsid w:val="003C4000"/>
    <w:rsid w:val="003C6E22"/>
    <w:rsid w:val="003D1D5A"/>
    <w:rsid w:val="003D3654"/>
    <w:rsid w:val="003D3E8D"/>
    <w:rsid w:val="003D420F"/>
    <w:rsid w:val="003D47B9"/>
    <w:rsid w:val="003D49F2"/>
    <w:rsid w:val="003D5317"/>
    <w:rsid w:val="003D55D7"/>
    <w:rsid w:val="003D5A69"/>
    <w:rsid w:val="003D667D"/>
    <w:rsid w:val="003D6C22"/>
    <w:rsid w:val="003D6DAC"/>
    <w:rsid w:val="003D6EBC"/>
    <w:rsid w:val="003E0E48"/>
    <w:rsid w:val="003E1A8F"/>
    <w:rsid w:val="003E1D88"/>
    <w:rsid w:val="003E1E5E"/>
    <w:rsid w:val="003E202F"/>
    <w:rsid w:val="003E290D"/>
    <w:rsid w:val="003E2D3A"/>
    <w:rsid w:val="003E597E"/>
    <w:rsid w:val="003E61B5"/>
    <w:rsid w:val="003E723E"/>
    <w:rsid w:val="003E7A6D"/>
    <w:rsid w:val="003F00F8"/>
    <w:rsid w:val="003F01B1"/>
    <w:rsid w:val="003F08F6"/>
    <w:rsid w:val="003F0976"/>
    <w:rsid w:val="003F1AD0"/>
    <w:rsid w:val="003F1E36"/>
    <w:rsid w:val="003F27AE"/>
    <w:rsid w:val="003F30DD"/>
    <w:rsid w:val="003F453A"/>
    <w:rsid w:val="003F616F"/>
    <w:rsid w:val="003F6DA8"/>
    <w:rsid w:val="003F6F19"/>
    <w:rsid w:val="003F7C4D"/>
    <w:rsid w:val="003F7F09"/>
    <w:rsid w:val="00402196"/>
    <w:rsid w:val="00402214"/>
    <w:rsid w:val="00403505"/>
    <w:rsid w:val="004038E9"/>
    <w:rsid w:val="00403BDB"/>
    <w:rsid w:val="00403F12"/>
    <w:rsid w:val="00404922"/>
    <w:rsid w:val="004058CC"/>
    <w:rsid w:val="004067E4"/>
    <w:rsid w:val="00406ADF"/>
    <w:rsid w:val="004070B5"/>
    <w:rsid w:val="004125B8"/>
    <w:rsid w:val="004142E8"/>
    <w:rsid w:val="004153A5"/>
    <w:rsid w:val="00415B0A"/>
    <w:rsid w:val="00417911"/>
    <w:rsid w:val="004203E8"/>
    <w:rsid w:val="004211CE"/>
    <w:rsid w:val="0042142B"/>
    <w:rsid w:val="00421723"/>
    <w:rsid w:val="0042177D"/>
    <w:rsid w:val="00422253"/>
    <w:rsid w:val="00422B6E"/>
    <w:rsid w:val="00423151"/>
    <w:rsid w:val="0042444C"/>
    <w:rsid w:val="00425F05"/>
    <w:rsid w:val="00426B3E"/>
    <w:rsid w:val="00427527"/>
    <w:rsid w:val="00427C10"/>
    <w:rsid w:val="00432777"/>
    <w:rsid w:val="00432C4A"/>
    <w:rsid w:val="0043303E"/>
    <w:rsid w:val="00433196"/>
    <w:rsid w:val="00433CC5"/>
    <w:rsid w:val="00435752"/>
    <w:rsid w:val="00435A86"/>
    <w:rsid w:val="00436004"/>
    <w:rsid w:val="00436CAE"/>
    <w:rsid w:val="00441639"/>
    <w:rsid w:val="00442016"/>
    <w:rsid w:val="00442BC9"/>
    <w:rsid w:val="00443853"/>
    <w:rsid w:val="0044403B"/>
    <w:rsid w:val="00444CCF"/>
    <w:rsid w:val="0044598D"/>
    <w:rsid w:val="00445F2F"/>
    <w:rsid w:val="00445F87"/>
    <w:rsid w:val="004506A6"/>
    <w:rsid w:val="00451F83"/>
    <w:rsid w:val="0045269D"/>
    <w:rsid w:val="004537B2"/>
    <w:rsid w:val="004538B7"/>
    <w:rsid w:val="00454066"/>
    <w:rsid w:val="00455841"/>
    <w:rsid w:val="00456517"/>
    <w:rsid w:val="00456593"/>
    <w:rsid w:val="00457A4D"/>
    <w:rsid w:val="00457E4E"/>
    <w:rsid w:val="0046030C"/>
    <w:rsid w:val="004608A7"/>
    <w:rsid w:val="0046122C"/>
    <w:rsid w:val="0046123C"/>
    <w:rsid w:val="00462F9B"/>
    <w:rsid w:val="0046356D"/>
    <w:rsid w:val="00463D81"/>
    <w:rsid w:val="004655AE"/>
    <w:rsid w:val="004657B3"/>
    <w:rsid w:val="00466E5B"/>
    <w:rsid w:val="004676E2"/>
    <w:rsid w:val="004676F4"/>
    <w:rsid w:val="00467B7F"/>
    <w:rsid w:val="00470ABB"/>
    <w:rsid w:val="004725A3"/>
    <w:rsid w:val="00472F51"/>
    <w:rsid w:val="004744F3"/>
    <w:rsid w:val="00475D97"/>
    <w:rsid w:val="00475FA5"/>
    <w:rsid w:val="0047606A"/>
    <w:rsid w:val="00476579"/>
    <w:rsid w:val="00476C3E"/>
    <w:rsid w:val="004774A8"/>
    <w:rsid w:val="00477DAD"/>
    <w:rsid w:val="00480B2E"/>
    <w:rsid w:val="0048274F"/>
    <w:rsid w:val="0048674F"/>
    <w:rsid w:val="00486797"/>
    <w:rsid w:val="004867CF"/>
    <w:rsid w:val="00486E0C"/>
    <w:rsid w:val="0049036C"/>
    <w:rsid w:val="0049114B"/>
    <w:rsid w:val="0049134C"/>
    <w:rsid w:val="00493291"/>
    <w:rsid w:val="00493A47"/>
    <w:rsid w:val="00493D9D"/>
    <w:rsid w:val="0049437D"/>
    <w:rsid w:val="004A073A"/>
    <w:rsid w:val="004A0A76"/>
    <w:rsid w:val="004A0B9D"/>
    <w:rsid w:val="004A1336"/>
    <w:rsid w:val="004A1714"/>
    <w:rsid w:val="004A1C0A"/>
    <w:rsid w:val="004A233B"/>
    <w:rsid w:val="004A4550"/>
    <w:rsid w:val="004A4609"/>
    <w:rsid w:val="004A4695"/>
    <w:rsid w:val="004A4FA1"/>
    <w:rsid w:val="004A550D"/>
    <w:rsid w:val="004A6009"/>
    <w:rsid w:val="004A6695"/>
    <w:rsid w:val="004A6BEE"/>
    <w:rsid w:val="004B0561"/>
    <w:rsid w:val="004B278A"/>
    <w:rsid w:val="004B29F7"/>
    <w:rsid w:val="004B2DC8"/>
    <w:rsid w:val="004B464F"/>
    <w:rsid w:val="004B5201"/>
    <w:rsid w:val="004B5898"/>
    <w:rsid w:val="004B6BC0"/>
    <w:rsid w:val="004B7A63"/>
    <w:rsid w:val="004B7EFE"/>
    <w:rsid w:val="004C045E"/>
    <w:rsid w:val="004C14C1"/>
    <w:rsid w:val="004C1893"/>
    <w:rsid w:val="004C4C65"/>
    <w:rsid w:val="004C4F9D"/>
    <w:rsid w:val="004C52FE"/>
    <w:rsid w:val="004C5F67"/>
    <w:rsid w:val="004C6A1E"/>
    <w:rsid w:val="004C7B59"/>
    <w:rsid w:val="004C7D3E"/>
    <w:rsid w:val="004C7E3D"/>
    <w:rsid w:val="004D000B"/>
    <w:rsid w:val="004D162F"/>
    <w:rsid w:val="004D35F5"/>
    <w:rsid w:val="004D3F93"/>
    <w:rsid w:val="004D4DD6"/>
    <w:rsid w:val="004D569C"/>
    <w:rsid w:val="004D5DE5"/>
    <w:rsid w:val="004D65FA"/>
    <w:rsid w:val="004D757D"/>
    <w:rsid w:val="004E0349"/>
    <w:rsid w:val="004E070C"/>
    <w:rsid w:val="004E09CB"/>
    <w:rsid w:val="004E1356"/>
    <w:rsid w:val="004E21C3"/>
    <w:rsid w:val="004E517F"/>
    <w:rsid w:val="004E5C50"/>
    <w:rsid w:val="004E6683"/>
    <w:rsid w:val="004E72DD"/>
    <w:rsid w:val="004F00EB"/>
    <w:rsid w:val="004F0379"/>
    <w:rsid w:val="004F04B0"/>
    <w:rsid w:val="004F1307"/>
    <w:rsid w:val="004F1A16"/>
    <w:rsid w:val="004F275F"/>
    <w:rsid w:val="004F28D2"/>
    <w:rsid w:val="004F2F09"/>
    <w:rsid w:val="005000B5"/>
    <w:rsid w:val="00500A3E"/>
    <w:rsid w:val="00500F8F"/>
    <w:rsid w:val="005032C7"/>
    <w:rsid w:val="00504639"/>
    <w:rsid w:val="00504D74"/>
    <w:rsid w:val="005055A1"/>
    <w:rsid w:val="00505A4D"/>
    <w:rsid w:val="00507232"/>
    <w:rsid w:val="0050741C"/>
    <w:rsid w:val="00507FD2"/>
    <w:rsid w:val="005101B0"/>
    <w:rsid w:val="00511938"/>
    <w:rsid w:val="00511D66"/>
    <w:rsid w:val="00511DC4"/>
    <w:rsid w:val="00514683"/>
    <w:rsid w:val="005147B8"/>
    <w:rsid w:val="0051673A"/>
    <w:rsid w:val="0052033A"/>
    <w:rsid w:val="00520A4F"/>
    <w:rsid w:val="0052142A"/>
    <w:rsid w:val="005219C9"/>
    <w:rsid w:val="00521CB6"/>
    <w:rsid w:val="005220E5"/>
    <w:rsid w:val="00522499"/>
    <w:rsid w:val="005251C1"/>
    <w:rsid w:val="00525496"/>
    <w:rsid w:val="005254AD"/>
    <w:rsid w:val="005259A3"/>
    <w:rsid w:val="0052689A"/>
    <w:rsid w:val="00526BF9"/>
    <w:rsid w:val="0052772A"/>
    <w:rsid w:val="00527B8A"/>
    <w:rsid w:val="005302EA"/>
    <w:rsid w:val="00530EF7"/>
    <w:rsid w:val="0053125F"/>
    <w:rsid w:val="005316E0"/>
    <w:rsid w:val="00531AF3"/>
    <w:rsid w:val="00531CDA"/>
    <w:rsid w:val="00532738"/>
    <w:rsid w:val="0053308E"/>
    <w:rsid w:val="0053494E"/>
    <w:rsid w:val="00534AFA"/>
    <w:rsid w:val="0053560B"/>
    <w:rsid w:val="005369C4"/>
    <w:rsid w:val="005378F6"/>
    <w:rsid w:val="0054117B"/>
    <w:rsid w:val="0054164D"/>
    <w:rsid w:val="00541AE5"/>
    <w:rsid w:val="00541F96"/>
    <w:rsid w:val="00542687"/>
    <w:rsid w:val="005439C9"/>
    <w:rsid w:val="005462FE"/>
    <w:rsid w:val="0054777B"/>
    <w:rsid w:val="00547C73"/>
    <w:rsid w:val="0055047D"/>
    <w:rsid w:val="00552838"/>
    <w:rsid w:val="00554AEE"/>
    <w:rsid w:val="0055681D"/>
    <w:rsid w:val="005575D1"/>
    <w:rsid w:val="00557844"/>
    <w:rsid w:val="00557867"/>
    <w:rsid w:val="00557EE8"/>
    <w:rsid w:val="0056043B"/>
    <w:rsid w:val="005613FD"/>
    <w:rsid w:val="005624DB"/>
    <w:rsid w:val="00564FB6"/>
    <w:rsid w:val="005656DA"/>
    <w:rsid w:val="005665A1"/>
    <w:rsid w:val="00566EBB"/>
    <w:rsid w:val="00566F22"/>
    <w:rsid w:val="00570DD5"/>
    <w:rsid w:val="005713D0"/>
    <w:rsid w:val="005727BB"/>
    <w:rsid w:val="0057296C"/>
    <w:rsid w:val="005738B5"/>
    <w:rsid w:val="0057508F"/>
    <w:rsid w:val="00575FB9"/>
    <w:rsid w:val="00576E30"/>
    <w:rsid w:val="005802A1"/>
    <w:rsid w:val="00580910"/>
    <w:rsid w:val="00581591"/>
    <w:rsid w:val="00581C09"/>
    <w:rsid w:val="00582752"/>
    <w:rsid w:val="00583706"/>
    <w:rsid w:val="00584AE2"/>
    <w:rsid w:val="00585930"/>
    <w:rsid w:val="00585C7A"/>
    <w:rsid w:val="005862E3"/>
    <w:rsid w:val="005878DF"/>
    <w:rsid w:val="00587F3C"/>
    <w:rsid w:val="005902F1"/>
    <w:rsid w:val="00590B8E"/>
    <w:rsid w:val="00591A16"/>
    <w:rsid w:val="00592D7C"/>
    <w:rsid w:val="00593067"/>
    <w:rsid w:val="0059343E"/>
    <w:rsid w:val="00593443"/>
    <w:rsid w:val="0059384A"/>
    <w:rsid w:val="00597CCC"/>
    <w:rsid w:val="005A301E"/>
    <w:rsid w:val="005A3899"/>
    <w:rsid w:val="005A3AF0"/>
    <w:rsid w:val="005A49EB"/>
    <w:rsid w:val="005A4D34"/>
    <w:rsid w:val="005A62DF"/>
    <w:rsid w:val="005A68EA"/>
    <w:rsid w:val="005A6BE1"/>
    <w:rsid w:val="005A6F01"/>
    <w:rsid w:val="005A709C"/>
    <w:rsid w:val="005A743D"/>
    <w:rsid w:val="005B0502"/>
    <w:rsid w:val="005B10CF"/>
    <w:rsid w:val="005B1BF4"/>
    <w:rsid w:val="005B45E8"/>
    <w:rsid w:val="005B5C90"/>
    <w:rsid w:val="005B6AE4"/>
    <w:rsid w:val="005C0D94"/>
    <w:rsid w:val="005C1940"/>
    <w:rsid w:val="005C1ED3"/>
    <w:rsid w:val="005C31EB"/>
    <w:rsid w:val="005C34BF"/>
    <w:rsid w:val="005C42E8"/>
    <w:rsid w:val="005C4B52"/>
    <w:rsid w:val="005C5787"/>
    <w:rsid w:val="005C6830"/>
    <w:rsid w:val="005C7C81"/>
    <w:rsid w:val="005D084F"/>
    <w:rsid w:val="005D258E"/>
    <w:rsid w:val="005D2AD6"/>
    <w:rsid w:val="005D33A6"/>
    <w:rsid w:val="005D47C6"/>
    <w:rsid w:val="005D5A3B"/>
    <w:rsid w:val="005D69FF"/>
    <w:rsid w:val="005D7B22"/>
    <w:rsid w:val="005E1D94"/>
    <w:rsid w:val="005E1EF3"/>
    <w:rsid w:val="005E1FBF"/>
    <w:rsid w:val="005E36A6"/>
    <w:rsid w:val="005E4111"/>
    <w:rsid w:val="005E4D50"/>
    <w:rsid w:val="005E5106"/>
    <w:rsid w:val="005E580D"/>
    <w:rsid w:val="005E5DBF"/>
    <w:rsid w:val="005E621C"/>
    <w:rsid w:val="005E63D7"/>
    <w:rsid w:val="005E7A6B"/>
    <w:rsid w:val="005F045F"/>
    <w:rsid w:val="005F101E"/>
    <w:rsid w:val="005F1CB5"/>
    <w:rsid w:val="005F28BD"/>
    <w:rsid w:val="005F3C48"/>
    <w:rsid w:val="005F3D08"/>
    <w:rsid w:val="005F4095"/>
    <w:rsid w:val="005F4AA3"/>
    <w:rsid w:val="005F547C"/>
    <w:rsid w:val="005F5873"/>
    <w:rsid w:val="005F5C91"/>
    <w:rsid w:val="005F5D45"/>
    <w:rsid w:val="005F67A0"/>
    <w:rsid w:val="00600167"/>
    <w:rsid w:val="00600CEB"/>
    <w:rsid w:val="0060122F"/>
    <w:rsid w:val="00604022"/>
    <w:rsid w:val="006051FC"/>
    <w:rsid w:val="006064C3"/>
    <w:rsid w:val="00606D15"/>
    <w:rsid w:val="00606DFC"/>
    <w:rsid w:val="006070D9"/>
    <w:rsid w:val="00607994"/>
    <w:rsid w:val="00610635"/>
    <w:rsid w:val="006108DA"/>
    <w:rsid w:val="00611CDE"/>
    <w:rsid w:val="00611FA4"/>
    <w:rsid w:val="006127EC"/>
    <w:rsid w:val="00613A16"/>
    <w:rsid w:val="00614CDB"/>
    <w:rsid w:val="00615120"/>
    <w:rsid w:val="006161CF"/>
    <w:rsid w:val="00616315"/>
    <w:rsid w:val="0061667E"/>
    <w:rsid w:val="00616831"/>
    <w:rsid w:val="00620074"/>
    <w:rsid w:val="00620EEE"/>
    <w:rsid w:val="006210C9"/>
    <w:rsid w:val="00622F66"/>
    <w:rsid w:val="00624374"/>
    <w:rsid w:val="00625A2A"/>
    <w:rsid w:val="0062679F"/>
    <w:rsid w:val="006268B5"/>
    <w:rsid w:val="006278F6"/>
    <w:rsid w:val="00627970"/>
    <w:rsid w:val="00630816"/>
    <w:rsid w:val="006308FE"/>
    <w:rsid w:val="00630C0E"/>
    <w:rsid w:val="00631676"/>
    <w:rsid w:val="00631FC1"/>
    <w:rsid w:val="00632CDC"/>
    <w:rsid w:val="0063356E"/>
    <w:rsid w:val="006337E6"/>
    <w:rsid w:val="00633B49"/>
    <w:rsid w:val="00634D93"/>
    <w:rsid w:val="0063781F"/>
    <w:rsid w:val="006418D3"/>
    <w:rsid w:val="00642E71"/>
    <w:rsid w:val="00644A61"/>
    <w:rsid w:val="006465D4"/>
    <w:rsid w:val="00646C03"/>
    <w:rsid w:val="00647713"/>
    <w:rsid w:val="006478E9"/>
    <w:rsid w:val="00647981"/>
    <w:rsid w:val="00647B95"/>
    <w:rsid w:val="00651357"/>
    <w:rsid w:val="0065181B"/>
    <w:rsid w:val="00652059"/>
    <w:rsid w:val="00652AAE"/>
    <w:rsid w:val="006535C2"/>
    <w:rsid w:val="006549FF"/>
    <w:rsid w:val="00656AB7"/>
    <w:rsid w:val="00656AF3"/>
    <w:rsid w:val="00656B4C"/>
    <w:rsid w:val="00660D94"/>
    <w:rsid w:val="0066382A"/>
    <w:rsid w:val="00664533"/>
    <w:rsid w:val="00664D7A"/>
    <w:rsid w:val="00665715"/>
    <w:rsid w:val="00667D5C"/>
    <w:rsid w:val="006703C8"/>
    <w:rsid w:val="00670933"/>
    <w:rsid w:val="00670F7C"/>
    <w:rsid w:val="00673154"/>
    <w:rsid w:val="006745AE"/>
    <w:rsid w:val="0067468E"/>
    <w:rsid w:val="00674E7D"/>
    <w:rsid w:val="0067509B"/>
    <w:rsid w:val="006752D8"/>
    <w:rsid w:val="00675BD9"/>
    <w:rsid w:val="006800BF"/>
    <w:rsid w:val="00680AFA"/>
    <w:rsid w:val="00680F36"/>
    <w:rsid w:val="00681779"/>
    <w:rsid w:val="0068299C"/>
    <w:rsid w:val="00682D03"/>
    <w:rsid w:val="00682DCE"/>
    <w:rsid w:val="0068403D"/>
    <w:rsid w:val="00684205"/>
    <w:rsid w:val="00685DFF"/>
    <w:rsid w:val="0068601C"/>
    <w:rsid w:val="006862C6"/>
    <w:rsid w:val="00686AFD"/>
    <w:rsid w:val="006872A2"/>
    <w:rsid w:val="0068731E"/>
    <w:rsid w:val="00690F66"/>
    <w:rsid w:val="006915E8"/>
    <w:rsid w:val="00691DC9"/>
    <w:rsid w:val="00692B99"/>
    <w:rsid w:val="0069396F"/>
    <w:rsid w:val="006942A4"/>
    <w:rsid w:val="00695946"/>
    <w:rsid w:val="006962AC"/>
    <w:rsid w:val="006967FB"/>
    <w:rsid w:val="00696ACD"/>
    <w:rsid w:val="00696CE5"/>
    <w:rsid w:val="00696CF4"/>
    <w:rsid w:val="00697285"/>
    <w:rsid w:val="00697822"/>
    <w:rsid w:val="00697860"/>
    <w:rsid w:val="006A1CF0"/>
    <w:rsid w:val="006A3329"/>
    <w:rsid w:val="006A380F"/>
    <w:rsid w:val="006A52EC"/>
    <w:rsid w:val="006A5ACE"/>
    <w:rsid w:val="006A64FF"/>
    <w:rsid w:val="006A670C"/>
    <w:rsid w:val="006A6B75"/>
    <w:rsid w:val="006B0872"/>
    <w:rsid w:val="006B0D98"/>
    <w:rsid w:val="006B1031"/>
    <w:rsid w:val="006B13AD"/>
    <w:rsid w:val="006B1C07"/>
    <w:rsid w:val="006B2C20"/>
    <w:rsid w:val="006B32B4"/>
    <w:rsid w:val="006B387A"/>
    <w:rsid w:val="006B40B8"/>
    <w:rsid w:val="006B462C"/>
    <w:rsid w:val="006B487D"/>
    <w:rsid w:val="006B656B"/>
    <w:rsid w:val="006B6C17"/>
    <w:rsid w:val="006B7170"/>
    <w:rsid w:val="006B746A"/>
    <w:rsid w:val="006B7FFD"/>
    <w:rsid w:val="006C1090"/>
    <w:rsid w:val="006C19DB"/>
    <w:rsid w:val="006C2419"/>
    <w:rsid w:val="006C343B"/>
    <w:rsid w:val="006C38DA"/>
    <w:rsid w:val="006C3EC8"/>
    <w:rsid w:val="006C40B2"/>
    <w:rsid w:val="006C4F01"/>
    <w:rsid w:val="006C53C4"/>
    <w:rsid w:val="006C70B2"/>
    <w:rsid w:val="006C7D3D"/>
    <w:rsid w:val="006D01A4"/>
    <w:rsid w:val="006D0A66"/>
    <w:rsid w:val="006D14F5"/>
    <w:rsid w:val="006D1F36"/>
    <w:rsid w:val="006D4326"/>
    <w:rsid w:val="006D469B"/>
    <w:rsid w:val="006D4F50"/>
    <w:rsid w:val="006D5EB7"/>
    <w:rsid w:val="006D737E"/>
    <w:rsid w:val="006D7C68"/>
    <w:rsid w:val="006E0943"/>
    <w:rsid w:val="006E27D0"/>
    <w:rsid w:val="006E2885"/>
    <w:rsid w:val="006E2C58"/>
    <w:rsid w:val="006E4310"/>
    <w:rsid w:val="006E44FA"/>
    <w:rsid w:val="006E4D67"/>
    <w:rsid w:val="006E655A"/>
    <w:rsid w:val="006E6562"/>
    <w:rsid w:val="006E7220"/>
    <w:rsid w:val="006E727F"/>
    <w:rsid w:val="006E7F6D"/>
    <w:rsid w:val="006F0B47"/>
    <w:rsid w:val="006F1F25"/>
    <w:rsid w:val="006F2B5C"/>
    <w:rsid w:val="006F433D"/>
    <w:rsid w:val="006F4956"/>
    <w:rsid w:val="006F6195"/>
    <w:rsid w:val="006F6B50"/>
    <w:rsid w:val="006F6EBD"/>
    <w:rsid w:val="006F731E"/>
    <w:rsid w:val="00700D13"/>
    <w:rsid w:val="007018F5"/>
    <w:rsid w:val="00702114"/>
    <w:rsid w:val="00703B55"/>
    <w:rsid w:val="00703D3A"/>
    <w:rsid w:val="00705BD2"/>
    <w:rsid w:val="00706909"/>
    <w:rsid w:val="00706E30"/>
    <w:rsid w:val="00706E8C"/>
    <w:rsid w:val="00706F90"/>
    <w:rsid w:val="007101B6"/>
    <w:rsid w:val="00711AC6"/>
    <w:rsid w:val="00711BE8"/>
    <w:rsid w:val="00711E21"/>
    <w:rsid w:val="0071341E"/>
    <w:rsid w:val="0071361B"/>
    <w:rsid w:val="00714970"/>
    <w:rsid w:val="00715A45"/>
    <w:rsid w:val="007170FC"/>
    <w:rsid w:val="007171A3"/>
    <w:rsid w:val="00717392"/>
    <w:rsid w:val="00721345"/>
    <w:rsid w:val="00721F1E"/>
    <w:rsid w:val="00722222"/>
    <w:rsid w:val="00722A42"/>
    <w:rsid w:val="00722C2C"/>
    <w:rsid w:val="00722EBC"/>
    <w:rsid w:val="00723B25"/>
    <w:rsid w:val="00727434"/>
    <w:rsid w:val="00730CF4"/>
    <w:rsid w:val="00730FAC"/>
    <w:rsid w:val="007323EA"/>
    <w:rsid w:val="00732E13"/>
    <w:rsid w:val="00733556"/>
    <w:rsid w:val="00733979"/>
    <w:rsid w:val="00734CD0"/>
    <w:rsid w:val="0073695C"/>
    <w:rsid w:val="00736E8B"/>
    <w:rsid w:val="0073705F"/>
    <w:rsid w:val="00740631"/>
    <w:rsid w:val="00740FCF"/>
    <w:rsid w:val="007434BE"/>
    <w:rsid w:val="00743A0C"/>
    <w:rsid w:val="00743A26"/>
    <w:rsid w:val="00743B1C"/>
    <w:rsid w:val="007440B5"/>
    <w:rsid w:val="00744B51"/>
    <w:rsid w:val="0074586A"/>
    <w:rsid w:val="00745E1F"/>
    <w:rsid w:val="00746655"/>
    <w:rsid w:val="0074722C"/>
    <w:rsid w:val="0074731F"/>
    <w:rsid w:val="00747B8A"/>
    <w:rsid w:val="00747FB8"/>
    <w:rsid w:val="0075050C"/>
    <w:rsid w:val="00750A77"/>
    <w:rsid w:val="00752246"/>
    <w:rsid w:val="007523A3"/>
    <w:rsid w:val="0075291B"/>
    <w:rsid w:val="00752EF0"/>
    <w:rsid w:val="007530AE"/>
    <w:rsid w:val="007540A3"/>
    <w:rsid w:val="0075430E"/>
    <w:rsid w:val="00754BF2"/>
    <w:rsid w:val="007564BB"/>
    <w:rsid w:val="0075725B"/>
    <w:rsid w:val="00757EF9"/>
    <w:rsid w:val="00760356"/>
    <w:rsid w:val="0076074C"/>
    <w:rsid w:val="007614BC"/>
    <w:rsid w:val="0076243E"/>
    <w:rsid w:val="007627C7"/>
    <w:rsid w:val="00763E9F"/>
    <w:rsid w:val="00765F2C"/>
    <w:rsid w:val="00766BEA"/>
    <w:rsid w:val="00771376"/>
    <w:rsid w:val="00771A11"/>
    <w:rsid w:val="0077213A"/>
    <w:rsid w:val="0077250C"/>
    <w:rsid w:val="00773345"/>
    <w:rsid w:val="0077379E"/>
    <w:rsid w:val="00773BC1"/>
    <w:rsid w:val="0077421A"/>
    <w:rsid w:val="00775A2F"/>
    <w:rsid w:val="00776B2A"/>
    <w:rsid w:val="00777F88"/>
    <w:rsid w:val="00780175"/>
    <w:rsid w:val="0078017F"/>
    <w:rsid w:val="0078125F"/>
    <w:rsid w:val="00781480"/>
    <w:rsid w:val="007828F1"/>
    <w:rsid w:val="00782BBA"/>
    <w:rsid w:val="0078342F"/>
    <w:rsid w:val="007843E0"/>
    <w:rsid w:val="00784749"/>
    <w:rsid w:val="00786A9B"/>
    <w:rsid w:val="00786D55"/>
    <w:rsid w:val="00790337"/>
    <w:rsid w:val="00790528"/>
    <w:rsid w:val="0079338A"/>
    <w:rsid w:val="0079393D"/>
    <w:rsid w:val="00793B61"/>
    <w:rsid w:val="007943B4"/>
    <w:rsid w:val="007945CB"/>
    <w:rsid w:val="0079474C"/>
    <w:rsid w:val="0079497A"/>
    <w:rsid w:val="00795B5C"/>
    <w:rsid w:val="00795D97"/>
    <w:rsid w:val="00796051"/>
    <w:rsid w:val="00797243"/>
    <w:rsid w:val="00797831"/>
    <w:rsid w:val="007A0EBC"/>
    <w:rsid w:val="007A1C20"/>
    <w:rsid w:val="007A1DDD"/>
    <w:rsid w:val="007A2605"/>
    <w:rsid w:val="007A4DA6"/>
    <w:rsid w:val="007A66C5"/>
    <w:rsid w:val="007A69B0"/>
    <w:rsid w:val="007A74D6"/>
    <w:rsid w:val="007A759E"/>
    <w:rsid w:val="007A75DD"/>
    <w:rsid w:val="007A7626"/>
    <w:rsid w:val="007B1776"/>
    <w:rsid w:val="007B1FCB"/>
    <w:rsid w:val="007B311B"/>
    <w:rsid w:val="007B36D9"/>
    <w:rsid w:val="007B3AA3"/>
    <w:rsid w:val="007B46FE"/>
    <w:rsid w:val="007B65CE"/>
    <w:rsid w:val="007C02B9"/>
    <w:rsid w:val="007C1FCE"/>
    <w:rsid w:val="007C2113"/>
    <w:rsid w:val="007C2256"/>
    <w:rsid w:val="007C22E7"/>
    <w:rsid w:val="007C322E"/>
    <w:rsid w:val="007C4B85"/>
    <w:rsid w:val="007C55CE"/>
    <w:rsid w:val="007C5E0F"/>
    <w:rsid w:val="007C7AF7"/>
    <w:rsid w:val="007D0152"/>
    <w:rsid w:val="007D0160"/>
    <w:rsid w:val="007D2048"/>
    <w:rsid w:val="007D3879"/>
    <w:rsid w:val="007D443D"/>
    <w:rsid w:val="007D4A8D"/>
    <w:rsid w:val="007D6B19"/>
    <w:rsid w:val="007D6CF1"/>
    <w:rsid w:val="007D79CB"/>
    <w:rsid w:val="007E057B"/>
    <w:rsid w:val="007E0918"/>
    <w:rsid w:val="007E09D9"/>
    <w:rsid w:val="007E31A6"/>
    <w:rsid w:val="007E36FA"/>
    <w:rsid w:val="007E4D8E"/>
    <w:rsid w:val="007F07BB"/>
    <w:rsid w:val="007F0B1C"/>
    <w:rsid w:val="007F160B"/>
    <w:rsid w:val="007F1B6C"/>
    <w:rsid w:val="007F28DD"/>
    <w:rsid w:val="007F331C"/>
    <w:rsid w:val="007F40DD"/>
    <w:rsid w:val="007F47EB"/>
    <w:rsid w:val="007F4848"/>
    <w:rsid w:val="007F4D08"/>
    <w:rsid w:val="007F66F7"/>
    <w:rsid w:val="007F714C"/>
    <w:rsid w:val="007F7DB8"/>
    <w:rsid w:val="0080201D"/>
    <w:rsid w:val="0080252A"/>
    <w:rsid w:val="0080268D"/>
    <w:rsid w:val="00803747"/>
    <w:rsid w:val="00803C22"/>
    <w:rsid w:val="00804321"/>
    <w:rsid w:val="0080532E"/>
    <w:rsid w:val="00807F5E"/>
    <w:rsid w:val="00812D66"/>
    <w:rsid w:val="00812E2B"/>
    <w:rsid w:val="00813A19"/>
    <w:rsid w:val="00814602"/>
    <w:rsid w:val="00815DB9"/>
    <w:rsid w:val="00817B18"/>
    <w:rsid w:val="00817D2E"/>
    <w:rsid w:val="00817DD9"/>
    <w:rsid w:val="00817EB5"/>
    <w:rsid w:val="00817F37"/>
    <w:rsid w:val="00820AF2"/>
    <w:rsid w:val="0082130C"/>
    <w:rsid w:val="00821754"/>
    <w:rsid w:val="0082297C"/>
    <w:rsid w:val="00822C4B"/>
    <w:rsid w:val="00823C5D"/>
    <w:rsid w:val="00823D8A"/>
    <w:rsid w:val="00824B1D"/>
    <w:rsid w:val="008254B3"/>
    <w:rsid w:val="008259E9"/>
    <w:rsid w:val="0082731A"/>
    <w:rsid w:val="00830BB0"/>
    <w:rsid w:val="00831E31"/>
    <w:rsid w:val="008331C2"/>
    <w:rsid w:val="008338DC"/>
    <w:rsid w:val="00833C7B"/>
    <w:rsid w:val="00833CA0"/>
    <w:rsid w:val="00833F0C"/>
    <w:rsid w:val="008344C8"/>
    <w:rsid w:val="00834F40"/>
    <w:rsid w:val="00835284"/>
    <w:rsid w:val="00836225"/>
    <w:rsid w:val="008362D2"/>
    <w:rsid w:val="00836EAB"/>
    <w:rsid w:val="008408B4"/>
    <w:rsid w:val="00840937"/>
    <w:rsid w:val="0084165D"/>
    <w:rsid w:val="008417DC"/>
    <w:rsid w:val="00841824"/>
    <w:rsid w:val="00842432"/>
    <w:rsid w:val="00843184"/>
    <w:rsid w:val="00843F4A"/>
    <w:rsid w:val="008441C7"/>
    <w:rsid w:val="00844C03"/>
    <w:rsid w:val="00846794"/>
    <w:rsid w:val="00846E5B"/>
    <w:rsid w:val="00846F5C"/>
    <w:rsid w:val="00853282"/>
    <w:rsid w:val="00854896"/>
    <w:rsid w:val="00854D34"/>
    <w:rsid w:val="00854D8E"/>
    <w:rsid w:val="00857AE3"/>
    <w:rsid w:val="00857B2A"/>
    <w:rsid w:val="0086094A"/>
    <w:rsid w:val="00861232"/>
    <w:rsid w:val="0086184D"/>
    <w:rsid w:val="008628B2"/>
    <w:rsid w:val="0086358A"/>
    <w:rsid w:val="00864370"/>
    <w:rsid w:val="008652DC"/>
    <w:rsid w:val="00866C2E"/>
    <w:rsid w:val="00867C65"/>
    <w:rsid w:val="00870589"/>
    <w:rsid w:val="00872F4D"/>
    <w:rsid w:val="00873188"/>
    <w:rsid w:val="00873CBA"/>
    <w:rsid w:val="0087406A"/>
    <w:rsid w:val="00874E3B"/>
    <w:rsid w:val="00875B76"/>
    <w:rsid w:val="0087633C"/>
    <w:rsid w:val="00876D11"/>
    <w:rsid w:val="00877B9A"/>
    <w:rsid w:val="008803DF"/>
    <w:rsid w:val="008808E4"/>
    <w:rsid w:val="008832D7"/>
    <w:rsid w:val="00884888"/>
    <w:rsid w:val="008859AC"/>
    <w:rsid w:val="00886144"/>
    <w:rsid w:val="00887381"/>
    <w:rsid w:val="0089010C"/>
    <w:rsid w:val="00890A80"/>
    <w:rsid w:val="00890E60"/>
    <w:rsid w:val="00891426"/>
    <w:rsid w:val="008918DC"/>
    <w:rsid w:val="00891B3B"/>
    <w:rsid w:val="00891EBD"/>
    <w:rsid w:val="0089214D"/>
    <w:rsid w:val="00892B6A"/>
    <w:rsid w:val="008930C5"/>
    <w:rsid w:val="00893C45"/>
    <w:rsid w:val="00894708"/>
    <w:rsid w:val="008950E8"/>
    <w:rsid w:val="008956FC"/>
    <w:rsid w:val="00895F00"/>
    <w:rsid w:val="008A2922"/>
    <w:rsid w:val="008A357D"/>
    <w:rsid w:val="008A36D7"/>
    <w:rsid w:val="008A3AF3"/>
    <w:rsid w:val="008A4612"/>
    <w:rsid w:val="008A4927"/>
    <w:rsid w:val="008A6498"/>
    <w:rsid w:val="008A7E1F"/>
    <w:rsid w:val="008B133A"/>
    <w:rsid w:val="008B2C4B"/>
    <w:rsid w:val="008B334F"/>
    <w:rsid w:val="008B3BD3"/>
    <w:rsid w:val="008B3DD4"/>
    <w:rsid w:val="008B509A"/>
    <w:rsid w:val="008B69E4"/>
    <w:rsid w:val="008B7BE3"/>
    <w:rsid w:val="008C0C6F"/>
    <w:rsid w:val="008C0FDE"/>
    <w:rsid w:val="008C2400"/>
    <w:rsid w:val="008C4776"/>
    <w:rsid w:val="008C4844"/>
    <w:rsid w:val="008C5D04"/>
    <w:rsid w:val="008C6C0B"/>
    <w:rsid w:val="008C7159"/>
    <w:rsid w:val="008C7DEE"/>
    <w:rsid w:val="008D07CF"/>
    <w:rsid w:val="008D1EE6"/>
    <w:rsid w:val="008D2AEC"/>
    <w:rsid w:val="008D30C1"/>
    <w:rsid w:val="008D4109"/>
    <w:rsid w:val="008D502C"/>
    <w:rsid w:val="008D5B97"/>
    <w:rsid w:val="008D6428"/>
    <w:rsid w:val="008E0E53"/>
    <w:rsid w:val="008E1379"/>
    <w:rsid w:val="008E1B2B"/>
    <w:rsid w:val="008E1F6D"/>
    <w:rsid w:val="008E249B"/>
    <w:rsid w:val="008E2834"/>
    <w:rsid w:val="008E2EBC"/>
    <w:rsid w:val="008E50B2"/>
    <w:rsid w:val="008E6297"/>
    <w:rsid w:val="008E6D62"/>
    <w:rsid w:val="008E70DE"/>
    <w:rsid w:val="008F0292"/>
    <w:rsid w:val="008F031E"/>
    <w:rsid w:val="008F23CE"/>
    <w:rsid w:val="008F2422"/>
    <w:rsid w:val="008F3B13"/>
    <w:rsid w:val="008F3C37"/>
    <w:rsid w:val="008F7BEA"/>
    <w:rsid w:val="00900712"/>
    <w:rsid w:val="00901DF3"/>
    <w:rsid w:val="00902073"/>
    <w:rsid w:val="00903A9B"/>
    <w:rsid w:val="0090418B"/>
    <w:rsid w:val="00904BA5"/>
    <w:rsid w:val="00904BB0"/>
    <w:rsid w:val="00905681"/>
    <w:rsid w:val="00905CA3"/>
    <w:rsid w:val="00906175"/>
    <w:rsid w:val="00906AA1"/>
    <w:rsid w:val="00907123"/>
    <w:rsid w:val="009074FF"/>
    <w:rsid w:val="00907945"/>
    <w:rsid w:val="00907ABB"/>
    <w:rsid w:val="0091003C"/>
    <w:rsid w:val="009104C3"/>
    <w:rsid w:val="00910F6E"/>
    <w:rsid w:val="00911199"/>
    <w:rsid w:val="00913029"/>
    <w:rsid w:val="00914E9F"/>
    <w:rsid w:val="00914F88"/>
    <w:rsid w:val="00915488"/>
    <w:rsid w:val="00916864"/>
    <w:rsid w:val="00917678"/>
    <w:rsid w:val="00917929"/>
    <w:rsid w:val="00917AA5"/>
    <w:rsid w:val="0092056F"/>
    <w:rsid w:val="00923D46"/>
    <w:rsid w:val="00924099"/>
    <w:rsid w:val="00927692"/>
    <w:rsid w:val="00927771"/>
    <w:rsid w:val="00931B7D"/>
    <w:rsid w:val="00932B39"/>
    <w:rsid w:val="00933BE0"/>
    <w:rsid w:val="00933DAF"/>
    <w:rsid w:val="00934A62"/>
    <w:rsid w:val="00934B30"/>
    <w:rsid w:val="00935825"/>
    <w:rsid w:val="0093648B"/>
    <w:rsid w:val="00936680"/>
    <w:rsid w:val="00937AD9"/>
    <w:rsid w:val="00944015"/>
    <w:rsid w:val="00945DBC"/>
    <w:rsid w:val="00950868"/>
    <w:rsid w:val="00950EE8"/>
    <w:rsid w:val="009511A2"/>
    <w:rsid w:val="00952ED6"/>
    <w:rsid w:val="00952F93"/>
    <w:rsid w:val="00953F4A"/>
    <w:rsid w:val="0095508D"/>
    <w:rsid w:val="0095602A"/>
    <w:rsid w:val="00957557"/>
    <w:rsid w:val="00957772"/>
    <w:rsid w:val="009606B8"/>
    <w:rsid w:val="00960F61"/>
    <w:rsid w:val="00961525"/>
    <w:rsid w:val="00961BDE"/>
    <w:rsid w:val="0096280D"/>
    <w:rsid w:val="00962AE5"/>
    <w:rsid w:val="00962E4B"/>
    <w:rsid w:val="009654AC"/>
    <w:rsid w:val="0096586F"/>
    <w:rsid w:val="0096592E"/>
    <w:rsid w:val="0096723C"/>
    <w:rsid w:val="00971AE7"/>
    <w:rsid w:val="00972071"/>
    <w:rsid w:val="00972183"/>
    <w:rsid w:val="009741E0"/>
    <w:rsid w:val="009744B1"/>
    <w:rsid w:val="00976503"/>
    <w:rsid w:val="00976A7C"/>
    <w:rsid w:val="00977566"/>
    <w:rsid w:val="00980D56"/>
    <w:rsid w:val="009827DC"/>
    <w:rsid w:val="00982BAD"/>
    <w:rsid w:val="00983449"/>
    <w:rsid w:val="00986B42"/>
    <w:rsid w:val="00986D3B"/>
    <w:rsid w:val="00986D6E"/>
    <w:rsid w:val="00987B9F"/>
    <w:rsid w:val="00987D3D"/>
    <w:rsid w:val="0099123F"/>
    <w:rsid w:val="00994F24"/>
    <w:rsid w:val="00995267"/>
    <w:rsid w:val="00995C2B"/>
    <w:rsid w:val="00995D59"/>
    <w:rsid w:val="00996119"/>
    <w:rsid w:val="009962AB"/>
    <w:rsid w:val="00996C75"/>
    <w:rsid w:val="00996C7F"/>
    <w:rsid w:val="00996EC9"/>
    <w:rsid w:val="009A01B6"/>
    <w:rsid w:val="009A1D6D"/>
    <w:rsid w:val="009A1EB3"/>
    <w:rsid w:val="009A2BD0"/>
    <w:rsid w:val="009A34E3"/>
    <w:rsid w:val="009A3673"/>
    <w:rsid w:val="009A367C"/>
    <w:rsid w:val="009A3F0F"/>
    <w:rsid w:val="009A4AB8"/>
    <w:rsid w:val="009A4B0B"/>
    <w:rsid w:val="009A5671"/>
    <w:rsid w:val="009A73BD"/>
    <w:rsid w:val="009A7E2A"/>
    <w:rsid w:val="009B009B"/>
    <w:rsid w:val="009B07EF"/>
    <w:rsid w:val="009B429B"/>
    <w:rsid w:val="009B5A4B"/>
    <w:rsid w:val="009B6520"/>
    <w:rsid w:val="009B69EF"/>
    <w:rsid w:val="009B6E49"/>
    <w:rsid w:val="009B76BC"/>
    <w:rsid w:val="009B7971"/>
    <w:rsid w:val="009C2588"/>
    <w:rsid w:val="009C2AF1"/>
    <w:rsid w:val="009C2FD1"/>
    <w:rsid w:val="009C3C9E"/>
    <w:rsid w:val="009C5AF0"/>
    <w:rsid w:val="009C6107"/>
    <w:rsid w:val="009D1435"/>
    <w:rsid w:val="009D17F7"/>
    <w:rsid w:val="009D1A41"/>
    <w:rsid w:val="009D2097"/>
    <w:rsid w:val="009D366C"/>
    <w:rsid w:val="009D367D"/>
    <w:rsid w:val="009D3F8C"/>
    <w:rsid w:val="009D483B"/>
    <w:rsid w:val="009D527C"/>
    <w:rsid w:val="009D5ACC"/>
    <w:rsid w:val="009D7E70"/>
    <w:rsid w:val="009E07F4"/>
    <w:rsid w:val="009E1AB6"/>
    <w:rsid w:val="009E2D84"/>
    <w:rsid w:val="009E352B"/>
    <w:rsid w:val="009E3AE9"/>
    <w:rsid w:val="009E49E5"/>
    <w:rsid w:val="009E4DD8"/>
    <w:rsid w:val="009E5482"/>
    <w:rsid w:val="009F0626"/>
    <w:rsid w:val="009F0754"/>
    <w:rsid w:val="009F103B"/>
    <w:rsid w:val="009F29CE"/>
    <w:rsid w:val="009F3A78"/>
    <w:rsid w:val="009F3CB3"/>
    <w:rsid w:val="009F60C2"/>
    <w:rsid w:val="009F7C23"/>
    <w:rsid w:val="00A003DB"/>
    <w:rsid w:val="00A00CB0"/>
    <w:rsid w:val="00A031E5"/>
    <w:rsid w:val="00A03CAF"/>
    <w:rsid w:val="00A0419D"/>
    <w:rsid w:val="00A04BA4"/>
    <w:rsid w:val="00A06EF1"/>
    <w:rsid w:val="00A071B7"/>
    <w:rsid w:val="00A07C23"/>
    <w:rsid w:val="00A105A9"/>
    <w:rsid w:val="00A113CA"/>
    <w:rsid w:val="00A113D6"/>
    <w:rsid w:val="00A11416"/>
    <w:rsid w:val="00A12498"/>
    <w:rsid w:val="00A145F7"/>
    <w:rsid w:val="00A14AE7"/>
    <w:rsid w:val="00A14C23"/>
    <w:rsid w:val="00A15606"/>
    <w:rsid w:val="00A15869"/>
    <w:rsid w:val="00A15D8E"/>
    <w:rsid w:val="00A16AFA"/>
    <w:rsid w:val="00A16DE3"/>
    <w:rsid w:val="00A1716E"/>
    <w:rsid w:val="00A17947"/>
    <w:rsid w:val="00A20776"/>
    <w:rsid w:val="00A20807"/>
    <w:rsid w:val="00A212AF"/>
    <w:rsid w:val="00A21428"/>
    <w:rsid w:val="00A252CC"/>
    <w:rsid w:val="00A259AE"/>
    <w:rsid w:val="00A26D93"/>
    <w:rsid w:val="00A27E29"/>
    <w:rsid w:val="00A27FE8"/>
    <w:rsid w:val="00A30651"/>
    <w:rsid w:val="00A311A1"/>
    <w:rsid w:val="00A31DC1"/>
    <w:rsid w:val="00A32008"/>
    <w:rsid w:val="00A32866"/>
    <w:rsid w:val="00A328A5"/>
    <w:rsid w:val="00A332A9"/>
    <w:rsid w:val="00A341B9"/>
    <w:rsid w:val="00A346C3"/>
    <w:rsid w:val="00A35106"/>
    <w:rsid w:val="00A3516D"/>
    <w:rsid w:val="00A35EC7"/>
    <w:rsid w:val="00A3648A"/>
    <w:rsid w:val="00A368CB"/>
    <w:rsid w:val="00A36F5B"/>
    <w:rsid w:val="00A41FA5"/>
    <w:rsid w:val="00A4259E"/>
    <w:rsid w:val="00A44D57"/>
    <w:rsid w:val="00A45DFA"/>
    <w:rsid w:val="00A465DD"/>
    <w:rsid w:val="00A4663B"/>
    <w:rsid w:val="00A46B45"/>
    <w:rsid w:val="00A50D55"/>
    <w:rsid w:val="00A50D7F"/>
    <w:rsid w:val="00A53444"/>
    <w:rsid w:val="00A54B7C"/>
    <w:rsid w:val="00A56734"/>
    <w:rsid w:val="00A61D14"/>
    <w:rsid w:val="00A63283"/>
    <w:rsid w:val="00A65613"/>
    <w:rsid w:val="00A65A1F"/>
    <w:rsid w:val="00A6698F"/>
    <w:rsid w:val="00A669ED"/>
    <w:rsid w:val="00A67408"/>
    <w:rsid w:val="00A67C00"/>
    <w:rsid w:val="00A67EB2"/>
    <w:rsid w:val="00A70AAC"/>
    <w:rsid w:val="00A70D58"/>
    <w:rsid w:val="00A73884"/>
    <w:rsid w:val="00A7518C"/>
    <w:rsid w:val="00A75E98"/>
    <w:rsid w:val="00A763C2"/>
    <w:rsid w:val="00A772C7"/>
    <w:rsid w:val="00A77751"/>
    <w:rsid w:val="00A778D0"/>
    <w:rsid w:val="00A8017C"/>
    <w:rsid w:val="00A812D0"/>
    <w:rsid w:val="00A8494C"/>
    <w:rsid w:val="00A860A7"/>
    <w:rsid w:val="00A86596"/>
    <w:rsid w:val="00A9144E"/>
    <w:rsid w:val="00A9281A"/>
    <w:rsid w:val="00A9330C"/>
    <w:rsid w:val="00A93860"/>
    <w:rsid w:val="00A9597E"/>
    <w:rsid w:val="00A9655D"/>
    <w:rsid w:val="00AA0F46"/>
    <w:rsid w:val="00AA1AEA"/>
    <w:rsid w:val="00AA2D56"/>
    <w:rsid w:val="00AA32C8"/>
    <w:rsid w:val="00AA4436"/>
    <w:rsid w:val="00AA4A0E"/>
    <w:rsid w:val="00AA5B9B"/>
    <w:rsid w:val="00AA5C13"/>
    <w:rsid w:val="00AA5E37"/>
    <w:rsid w:val="00AA6DF3"/>
    <w:rsid w:val="00AA7B41"/>
    <w:rsid w:val="00AA7D0D"/>
    <w:rsid w:val="00AB10EB"/>
    <w:rsid w:val="00AB2ADF"/>
    <w:rsid w:val="00AB6E4E"/>
    <w:rsid w:val="00AB6F92"/>
    <w:rsid w:val="00AC03B5"/>
    <w:rsid w:val="00AC0777"/>
    <w:rsid w:val="00AC0BC7"/>
    <w:rsid w:val="00AC22DB"/>
    <w:rsid w:val="00AC2505"/>
    <w:rsid w:val="00AC670B"/>
    <w:rsid w:val="00AC7566"/>
    <w:rsid w:val="00AC785E"/>
    <w:rsid w:val="00AD128C"/>
    <w:rsid w:val="00AD2CFA"/>
    <w:rsid w:val="00AD428B"/>
    <w:rsid w:val="00AD4CBB"/>
    <w:rsid w:val="00AD4D3C"/>
    <w:rsid w:val="00AD4DC0"/>
    <w:rsid w:val="00AD4EF8"/>
    <w:rsid w:val="00AD67BC"/>
    <w:rsid w:val="00AE094C"/>
    <w:rsid w:val="00AE1294"/>
    <w:rsid w:val="00AE1FD6"/>
    <w:rsid w:val="00AE20F4"/>
    <w:rsid w:val="00AE2CEA"/>
    <w:rsid w:val="00AE2D46"/>
    <w:rsid w:val="00AE3F2E"/>
    <w:rsid w:val="00AE4113"/>
    <w:rsid w:val="00AE4219"/>
    <w:rsid w:val="00AE44C5"/>
    <w:rsid w:val="00AE4AB3"/>
    <w:rsid w:val="00AE5010"/>
    <w:rsid w:val="00AE5985"/>
    <w:rsid w:val="00AE5B64"/>
    <w:rsid w:val="00AE7599"/>
    <w:rsid w:val="00AF148F"/>
    <w:rsid w:val="00AF189F"/>
    <w:rsid w:val="00AF2E8D"/>
    <w:rsid w:val="00AF39AF"/>
    <w:rsid w:val="00AF7397"/>
    <w:rsid w:val="00B004F3"/>
    <w:rsid w:val="00B00711"/>
    <w:rsid w:val="00B02787"/>
    <w:rsid w:val="00B02D81"/>
    <w:rsid w:val="00B036FD"/>
    <w:rsid w:val="00B042D2"/>
    <w:rsid w:val="00B04341"/>
    <w:rsid w:val="00B04729"/>
    <w:rsid w:val="00B05188"/>
    <w:rsid w:val="00B05869"/>
    <w:rsid w:val="00B05D5A"/>
    <w:rsid w:val="00B05DA1"/>
    <w:rsid w:val="00B066D7"/>
    <w:rsid w:val="00B07669"/>
    <w:rsid w:val="00B109DF"/>
    <w:rsid w:val="00B11BF1"/>
    <w:rsid w:val="00B11D86"/>
    <w:rsid w:val="00B12AE9"/>
    <w:rsid w:val="00B141A6"/>
    <w:rsid w:val="00B14D4C"/>
    <w:rsid w:val="00B15994"/>
    <w:rsid w:val="00B17B4A"/>
    <w:rsid w:val="00B20759"/>
    <w:rsid w:val="00B208E7"/>
    <w:rsid w:val="00B208F0"/>
    <w:rsid w:val="00B21517"/>
    <w:rsid w:val="00B2283E"/>
    <w:rsid w:val="00B22B36"/>
    <w:rsid w:val="00B242E4"/>
    <w:rsid w:val="00B24AEE"/>
    <w:rsid w:val="00B26CC4"/>
    <w:rsid w:val="00B26DDB"/>
    <w:rsid w:val="00B26ED3"/>
    <w:rsid w:val="00B27453"/>
    <w:rsid w:val="00B308B7"/>
    <w:rsid w:val="00B3158B"/>
    <w:rsid w:val="00B3297F"/>
    <w:rsid w:val="00B33E0E"/>
    <w:rsid w:val="00B34FE7"/>
    <w:rsid w:val="00B3549A"/>
    <w:rsid w:val="00B37345"/>
    <w:rsid w:val="00B41DE4"/>
    <w:rsid w:val="00B428DF"/>
    <w:rsid w:val="00B44FC5"/>
    <w:rsid w:val="00B45606"/>
    <w:rsid w:val="00B456CD"/>
    <w:rsid w:val="00B46BD2"/>
    <w:rsid w:val="00B5097C"/>
    <w:rsid w:val="00B5134E"/>
    <w:rsid w:val="00B51887"/>
    <w:rsid w:val="00B5234E"/>
    <w:rsid w:val="00B523BB"/>
    <w:rsid w:val="00B550F4"/>
    <w:rsid w:val="00B55D44"/>
    <w:rsid w:val="00B561FE"/>
    <w:rsid w:val="00B5684F"/>
    <w:rsid w:val="00B57737"/>
    <w:rsid w:val="00B604D1"/>
    <w:rsid w:val="00B61483"/>
    <w:rsid w:val="00B61701"/>
    <w:rsid w:val="00B6207C"/>
    <w:rsid w:val="00B628BF"/>
    <w:rsid w:val="00B62E7E"/>
    <w:rsid w:val="00B65B57"/>
    <w:rsid w:val="00B65CF7"/>
    <w:rsid w:val="00B67568"/>
    <w:rsid w:val="00B67A1F"/>
    <w:rsid w:val="00B67E0D"/>
    <w:rsid w:val="00B700FB"/>
    <w:rsid w:val="00B71B5C"/>
    <w:rsid w:val="00B71D48"/>
    <w:rsid w:val="00B72620"/>
    <w:rsid w:val="00B73542"/>
    <w:rsid w:val="00B73C94"/>
    <w:rsid w:val="00B73E54"/>
    <w:rsid w:val="00B7508B"/>
    <w:rsid w:val="00B769DF"/>
    <w:rsid w:val="00B76C76"/>
    <w:rsid w:val="00B7787F"/>
    <w:rsid w:val="00B8051D"/>
    <w:rsid w:val="00B8067B"/>
    <w:rsid w:val="00B80B42"/>
    <w:rsid w:val="00B81A38"/>
    <w:rsid w:val="00B81B6A"/>
    <w:rsid w:val="00B824DA"/>
    <w:rsid w:val="00B826FA"/>
    <w:rsid w:val="00B82D4B"/>
    <w:rsid w:val="00B834C3"/>
    <w:rsid w:val="00B834DF"/>
    <w:rsid w:val="00B8367E"/>
    <w:rsid w:val="00B84D75"/>
    <w:rsid w:val="00B85AEC"/>
    <w:rsid w:val="00B87642"/>
    <w:rsid w:val="00B87953"/>
    <w:rsid w:val="00B90790"/>
    <w:rsid w:val="00B91373"/>
    <w:rsid w:val="00B94EC4"/>
    <w:rsid w:val="00B95CB5"/>
    <w:rsid w:val="00B95DC1"/>
    <w:rsid w:val="00B9796A"/>
    <w:rsid w:val="00BA0542"/>
    <w:rsid w:val="00BA0665"/>
    <w:rsid w:val="00BA06FE"/>
    <w:rsid w:val="00BA0E36"/>
    <w:rsid w:val="00BA0F02"/>
    <w:rsid w:val="00BA282A"/>
    <w:rsid w:val="00BA4F97"/>
    <w:rsid w:val="00BA5473"/>
    <w:rsid w:val="00BA5854"/>
    <w:rsid w:val="00BA64A4"/>
    <w:rsid w:val="00BA7D5D"/>
    <w:rsid w:val="00BB07F4"/>
    <w:rsid w:val="00BB0ABB"/>
    <w:rsid w:val="00BB19AD"/>
    <w:rsid w:val="00BB19C8"/>
    <w:rsid w:val="00BB4C5C"/>
    <w:rsid w:val="00BB6F29"/>
    <w:rsid w:val="00BC09BC"/>
    <w:rsid w:val="00BC11BB"/>
    <w:rsid w:val="00BC12BC"/>
    <w:rsid w:val="00BC1608"/>
    <w:rsid w:val="00BC1952"/>
    <w:rsid w:val="00BC21D8"/>
    <w:rsid w:val="00BC2C91"/>
    <w:rsid w:val="00BC3041"/>
    <w:rsid w:val="00BC3605"/>
    <w:rsid w:val="00BC3B65"/>
    <w:rsid w:val="00BC7715"/>
    <w:rsid w:val="00BD022A"/>
    <w:rsid w:val="00BD0C9D"/>
    <w:rsid w:val="00BD0D58"/>
    <w:rsid w:val="00BD0EFC"/>
    <w:rsid w:val="00BD0F2C"/>
    <w:rsid w:val="00BD2704"/>
    <w:rsid w:val="00BD47EB"/>
    <w:rsid w:val="00BD4957"/>
    <w:rsid w:val="00BD4CD3"/>
    <w:rsid w:val="00BD4F32"/>
    <w:rsid w:val="00BD5A9D"/>
    <w:rsid w:val="00BD5E5E"/>
    <w:rsid w:val="00BD5F89"/>
    <w:rsid w:val="00BD7167"/>
    <w:rsid w:val="00BD728D"/>
    <w:rsid w:val="00BD743E"/>
    <w:rsid w:val="00BD790E"/>
    <w:rsid w:val="00BE0766"/>
    <w:rsid w:val="00BE07FA"/>
    <w:rsid w:val="00BE14C2"/>
    <w:rsid w:val="00BE205F"/>
    <w:rsid w:val="00BE26D6"/>
    <w:rsid w:val="00BE275D"/>
    <w:rsid w:val="00BE2E1F"/>
    <w:rsid w:val="00BE3EDD"/>
    <w:rsid w:val="00BE56FB"/>
    <w:rsid w:val="00BE591A"/>
    <w:rsid w:val="00BE6AA0"/>
    <w:rsid w:val="00BE6F15"/>
    <w:rsid w:val="00BF1800"/>
    <w:rsid w:val="00BF185A"/>
    <w:rsid w:val="00BF1C98"/>
    <w:rsid w:val="00BF49B1"/>
    <w:rsid w:val="00BF5201"/>
    <w:rsid w:val="00BF5380"/>
    <w:rsid w:val="00BF5BDC"/>
    <w:rsid w:val="00BF5C1F"/>
    <w:rsid w:val="00BF5DB8"/>
    <w:rsid w:val="00BF669F"/>
    <w:rsid w:val="00BF6A28"/>
    <w:rsid w:val="00BF7374"/>
    <w:rsid w:val="00BF7381"/>
    <w:rsid w:val="00BF7593"/>
    <w:rsid w:val="00C005E8"/>
    <w:rsid w:val="00C01126"/>
    <w:rsid w:val="00C01DAA"/>
    <w:rsid w:val="00C02AF8"/>
    <w:rsid w:val="00C04195"/>
    <w:rsid w:val="00C04837"/>
    <w:rsid w:val="00C051F7"/>
    <w:rsid w:val="00C057CA"/>
    <w:rsid w:val="00C05955"/>
    <w:rsid w:val="00C063B3"/>
    <w:rsid w:val="00C105A3"/>
    <w:rsid w:val="00C107B0"/>
    <w:rsid w:val="00C10AB3"/>
    <w:rsid w:val="00C10D60"/>
    <w:rsid w:val="00C11348"/>
    <w:rsid w:val="00C11C2C"/>
    <w:rsid w:val="00C1333B"/>
    <w:rsid w:val="00C143AF"/>
    <w:rsid w:val="00C1521E"/>
    <w:rsid w:val="00C15373"/>
    <w:rsid w:val="00C15D74"/>
    <w:rsid w:val="00C1613F"/>
    <w:rsid w:val="00C16822"/>
    <w:rsid w:val="00C17D69"/>
    <w:rsid w:val="00C217B9"/>
    <w:rsid w:val="00C21B5E"/>
    <w:rsid w:val="00C220DA"/>
    <w:rsid w:val="00C22EBC"/>
    <w:rsid w:val="00C23198"/>
    <w:rsid w:val="00C25024"/>
    <w:rsid w:val="00C25161"/>
    <w:rsid w:val="00C25353"/>
    <w:rsid w:val="00C25884"/>
    <w:rsid w:val="00C2640A"/>
    <w:rsid w:val="00C26A16"/>
    <w:rsid w:val="00C30596"/>
    <w:rsid w:val="00C30F04"/>
    <w:rsid w:val="00C32794"/>
    <w:rsid w:val="00C32A8C"/>
    <w:rsid w:val="00C32CFE"/>
    <w:rsid w:val="00C33478"/>
    <w:rsid w:val="00C348C8"/>
    <w:rsid w:val="00C35316"/>
    <w:rsid w:val="00C357AE"/>
    <w:rsid w:val="00C35D42"/>
    <w:rsid w:val="00C35F22"/>
    <w:rsid w:val="00C3629F"/>
    <w:rsid w:val="00C36F54"/>
    <w:rsid w:val="00C37F6D"/>
    <w:rsid w:val="00C40B01"/>
    <w:rsid w:val="00C41132"/>
    <w:rsid w:val="00C41FA6"/>
    <w:rsid w:val="00C42F4A"/>
    <w:rsid w:val="00C43F7E"/>
    <w:rsid w:val="00C4409A"/>
    <w:rsid w:val="00C45134"/>
    <w:rsid w:val="00C45504"/>
    <w:rsid w:val="00C45E54"/>
    <w:rsid w:val="00C47485"/>
    <w:rsid w:val="00C508B0"/>
    <w:rsid w:val="00C51E45"/>
    <w:rsid w:val="00C53C61"/>
    <w:rsid w:val="00C5405A"/>
    <w:rsid w:val="00C548CF"/>
    <w:rsid w:val="00C54E75"/>
    <w:rsid w:val="00C565C2"/>
    <w:rsid w:val="00C56717"/>
    <w:rsid w:val="00C56CA7"/>
    <w:rsid w:val="00C57746"/>
    <w:rsid w:val="00C57E1F"/>
    <w:rsid w:val="00C60E01"/>
    <w:rsid w:val="00C61879"/>
    <w:rsid w:val="00C61F5C"/>
    <w:rsid w:val="00C627FA"/>
    <w:rsid w:val="00C628C4"/>
    <w:rsid w:val="00C641BF"/>
    <w:rsid w:val="00C65D7F"/>
    <w:rsid w:val="00C66032"/>
    <w:rsid w:val="00C6642E"/>
    <w:rsid w:val="00C70202"/>
    <w:rsid w:val="00C70538"/>
    <w:rsid w:val="00C720A0"/>
    <w:rsid w:val="00C727E6"/>
    <w:rsid w:val="00C72F6E"/>
    <w:rsid w:val="00C73412"/>
    <w:rsid w:val="00C76401"/>
    <w:rsid w:val="00C7645B"/>
    <w:rsid w:val="00C767D0"/>
    <w:rsid w:val="00C8034C"/>
    <w:rsid w:val="00C83279"/>
    <w:rsid w:val="00C83F69"/>
    <w:rsid w:val="00C84122"/>
    <w:rsid w:val="00C85B0A"/>
    <w:rsid w:val="00C85B3D"/>
    <w:rsid w:val="00C8651F"/>
    <w:rsid w:val="00C87358"/>
    <w:rsid w:val="00C902EB"/>
    <w:rsid w:val="00C90331"/>
    <w:rsid w:val="00C9186B"/>
    <w:rsid w:val="00C925BE"/>
    <w:rsid w:val="00C95380"/>
    <w:rsid w:val="00C96769"/>
    <w:rsid w:val="00C96F38"/>
    <w:rsid w:val="00CA06D3"/>
    <w:rsid w:val="00CA08F0"/>
    <w:rsid w:val="00CA099F"/>
    <w:rsid w:val="00CA0B6E"/>
    <w:rsid w:val="00CA0D7A"/>
    <w:rsid w:val="00CA0FCD"/>
    <w:rsid w:val="00CA1456"/>
    <w:rsid w:val="00CA1470"/>
    <w:rsid w:val="00CA2FAE"/>
    <w:rsid w:val="00CA437C"/>
    <w:rsid w:val="00CA4C5F"/>
    <w:rsid w:val="00CA5975"/>
    <w:rsid w:val="00CA71A0"/>
    <w:rsid w:val="00CB19A5"/>
    <w:rsid w:val="00CB1ABB"/>
    <w:rsid w:val="00CB35B7"/>
    <w:rsid w:val="00CB49CA"/>
    <w:rsid w:val="00CB4B72"/>
    <w:rsid w:val="00CB4BE6"/>
    <w:rsid w:val="00CB5133"/>
    <w:rsid w:val="00CB6FA1"/>
    <w:rsid w:val="00CB735B"/>
    <w:rsid w:val="00CC0150"/>
    <w:rsid w:val="00CC020C"/>
    <w:rsid w:val="00CC096F"/>
    <w:rsid w:val="00CC1004"/>
    <w:rsid w:val="00CC1F08"/>
    <w:rsid w:val="00CC258C"/>
    <w:rsid w:val="00CC3576"/>
    <w:rsid w:val="00CC40E5"/>
    <w:rsid w:val="00CC4383"/>
    <w:rsid w:val="00CC7670"/>
    <w:rsid w:val="00CD06A1"/>
    <w:rsid w:val="00CD0994"/>
    <w:rsid w:val="00CD0B9B"/>
    <w:rsid w:val="00CD3A1F"/>
    <w:rsid w:val="00CD3E0B"/>
    <w:rsid w:val="00CD4486"/>
    <w:rsid w:val="00CD5666"/>
    <w:rsid w:val="00CD5D2D"/>
    <w:rsid w:val="00CD7C75"/>
    <w:rsid w:val="00CD7E6B"/>
    <w:rsid w:val="00CE02BB"/>
    <w:rsid w:val="00CE1E23"/>
    <w:rsid w:val="00CE1FBF"/>
    <w:rsid w:val="00CE272B"/>
    <w:rsid w:val="00CE2B90"/>
    <w:rsid w:val="00CE4D96"/>
    <w:rsid w:val="00CE5628"/>
    <w:rsid w:val="00CE56C3"/>
    <w:rsid w:val="00CE58D4"/>
    <w:rsid w:val="00CE634A"/>
    <w:rsid w:val="00CE63EF"/>
    <w:rsid w:val="00CE6765"/>
    <w:rsid w:val="00CE706F"/>
    <w:rsid w:val="00CE7D16"/>
    <w:rsid w:val="00CF02C8"/>
    <w:rsid w:val="00CF0B02"/>
    <w:rsid w:val="00CF4214"/>
    <w:rsid w:val="00CF4B4D"/>
    <w:rsid w:val="00CF4F73"/>
    <w:rsid w:val="00CF5F02"/>
    <w:rsid w:val="00CF6BA1"/>
    <w:rsid w:val="00D00C12"/>
    <w:rsid w:val="00D00DCF"/>
    <w:rsid w:val="00D00FDE"/>
    <w:rsid w:val="00D03756"/>
    <w:rsid w:val="00D03E48"/>
    <w:rsid w:val="00D0692B"/>
    <w:rsid w:val="00D06B46"/>
    <w:rsid w:val="00D06C13"/>
    <w:rsid w:val="00D10326"/>
    <w:rsid w:val="00D113B2"/>
    <w:rsid w:val="00D1378D"/>
    <w:rsid w:val="00D21182"/>
    <w:rsid w:val="00D21284"/>
    <w:rsid w:val="00D2369B"/>
    <w:rsid w:val="00D24E89"/>
    <w:rsid w:val="00D250A1"/>
    <w:rsid w:val="00D25711"/>
    <w:rsid w:val="00D25E4F"/>
    <w:rsid w:val="00D2621C"/>
    <w:rsid w:val="00D26514"/>
    <w:rsid w:val="00D26615"/>
    <w:rsid w:val="00D30117"/>
    <w:rsid w:val="00D308AC"/>
    <w:rsid w:val="00D30AF8"/>
    <w:rsid w:val="00D30D2D"/>
    <w:rsid w:val="00D3124A"/>
    <w:rsid w:val="00D3156C"/>
    <w:rsid w:val="00D32B02"/>
    <w:rsid w:val="00D33155"/>
    <w:rsid w:val="00D343C9"/>
    <w:rsid w:val="00D34F3A"/>
    <w:rsid w:val="00D352BD"/>
    <w:rsid w:val="00D35383"/>
    <w:rsid w:val="00D35ACC"/>
    <w:rsid w:val="00D35EDB"/>
    <w:rsid w:val="00D3601E"/>
    <w:rsid w:val="00D362DE"/>
    <w:rsid w:val="00D365D3"/>
    <w:rsid w:val="00D3687C"/>
    <w:rsid w:val="00D37B4A"/>
    <w:rsid w:val="00D411CE"/>
    <w:rsid w:val="00D426CD"/>
    <w:rsid w:val="00D43D7E"/>
    <w:rsid w:val="00D4430B"/>
    <w:rsid w:val="00D446A1"/>
    <w:rsid w:val="00D44EAF"/>
    <w:rsid w:val="00D45235"/>
    <w:rsid w:val="00D45F7C"/>
    <w:rsid w:val="00D50D08"/>
    <w:rsid w:val="00D53094"/>
    <w:rsid w:val="00D532A0"/>
    <w:rsid w:val="00D5469D"/>
    <w:rsid w:val="00D54743"/>
    <w:rsid w:val="00D555B8"/>
    <w:rsid w:val="00D55CC1"/>
    <w:rsid w:val="00D5719F"/>
    <w:rsid w:val="00D5760D"/>
    <w:rsid w:val="00D57FB4"/>
    <w:rsid w:val="00D616F7"/>
    <w:rsid w:val="00D6378F"/>
    <w:rsid w:val="00D63C75"/>
    <w:rsid w:val="00D6420F"/>
    <w:rsid w:val="00D64F5D"/>
    <w:rsid w:val="00D652CE"/>
    <w:rsid w:val="00D65498"/>
    <w:rsid w:val="00D65A02"/>
    <w:rsid w:val="00D6652E"/>
    <w:rsid w:val="00D66D03"/>
    <w:rsid w:val="00D670E7"/>
    <w:rsid w:val="00D678BA"/>
    <w:rsid w:val="00D703EE"/>
    <w:rsid w:val="00D7089F"/>
    <w:rsid w:val="00D708B8"/>
    <w:rsid w:val="00D7107C"/>
    <w:rsid w:val="00D712C3"/>
    <w:rsid w:val="00D71F05"/>
    <w:rsid w:val="00D7278A"/>
    <w:rsid w:val="00D72DE9"/>
    <w:rsid w:val="00D736E9"/>
    <w:rsid w:val="00D7374E"/>
    <w:rsid w:val="00D73B77"/>
    <w:rsid w:val="00D73DF7"/>
    <w:rsid w:val="00D740A8"/>
    <w:rsid w:val="00D74350"/>
    <w:rsid w:val="00D7450E"/>
    <w:rsid w:val="00D74877"/>
    <w:rsid w:val="00D7582C"/>
    <w:rsid w:val="00D75AC2"/>
    <w:rsid w:val="00D75FF2"/>
    <w:rsid w:val="00D7696B"/>
    <w:rsid w:val="00D769A1"/>
    <w:rsid w:val="00D77B8F"/>
    <w:rsid w:val="00D80D39"/>
    <w:rsid w:val="00D811B7"/>
    <w:rsid w:val="00D81BBC"/>
    <w:rsid w:val="00D81DAB"/>
    <w:rsid w:val="00D8331B"/>
    <w:rsid w:val="00D83CAB"/>
    <w:rsid w:val="00D8424C"/>
    <w:rsid w:val="00D8483D"/>
    <w:rsid w:val="00D84B81"/>
    <w:rsid w:val="00D84B88"/>
    <w:rsid w:val="00D864F9"/>
    <w:rsid w:val="00D872BD"/>
    <w:rsid w:val="00D87597"/>
    <w:rsid w:val="00D90EA5"/>
    <w:rsid w:val="00D9139E"/>
    <w:rsid w:val="00D915EE"/>
    <w:rsid w:val="00D92176"/>
    <w:rsid w:val="00D94130"/>
    <w:rsid w:val="00D94727"/>
    <w:rsid w:val="00D948E9"/>
    <w:rsid w:val="00D94D98"/>
    <w:rsid w:val="00D95ECC"/>
    <w:rsid w:val="00D977A0"/>
    <w:rsid w:val="00DA00D5"/>
    <w:rsid w:val="00DA0172"/>
    <w:rsid w:val="00DA0173"/>
    <w:rsid w:val="00DA3515"/>
    <w:rsid w:val="00DA35ED"/>
    <w:rsid w:val="00DA66EE"/>
    <w:rsid w:val="00DA75AC"/>
    <w:rsid w:val="00DA763D"/>
    <w:rsid w:val="00DB0AD5"/>
    <w:rsid w:val="00DB0D08"/>
    <w:rsid w:val="00DB1956"/>
    <w:rsid w:val="00DB19AA"/>
    <w:rsid w:val="00DB1F5D"/>
    <w:rsid w:val="00DB254B"/>
    <w:rsid w:val="00DB2DF3"/>
    <w:rsid w:val="00DB3E20"/>
    <w:rsid w:val="00DB4BB7"/>
    <w:rsid w:val="00DB55AE"/>
    <w:rsid w:val="00DB5BEC"/>
    <w:rsid w:val="00DB6150"/>
    <w:rsid w:val="00DB6210"/>
    <w:rsid w:val="00DB7A97"/>
    <w:rsid w:val="00DB7AE9"/>
    <w:rsid w:val="00DC022F"/>
    <w:rsid w:val="00DC0FAD"/>
    <w:rsid w:val="00DC132A"/>
    <w:rsid w:val="00DC1ED9"/>
    <w:rsid w:val="00DC1EDE"/>
    <w:rsid w:val="00DC331D"/>
    <w:rsid w:val="00DC35D1"/>
    <w:rsid w:val="00DC3BE8"/>
    <w:rsid w:val="00DC56F3"/>
    <w:rsid w:val="00DC5C7A"/>
    <w:rsid w:val="00DC61AA"/>
    <w:rsid w:val="00DC688B"/>
    <w:rsid w:val="00DC7411"/>
    <w:rsid w:val="00DC792B"/>
    <w:rsid w:val="00DD02CC"/>
    <w:rsid w:val="00DD18FE"/>
    <w:rsid w:val="00DD2FAC"/>
    <w:rsid w:val="00DD39BB"/>
    <w:rsid w:val="00DD6456"/>
    <w:rsid w:val="00DE127F"/>
    <w:rsid w:val="00DE3592"/>
    <w:rsid w:val="00DE3976"/>
    <w:rsid w:val="00DE3BBB"/>
    <w:rsid w:val="00DE527D"/>
    <w:rsid w:val="00DE5682"/>
    <w:rsid w:val="00DE5721"/>
    <w:rsid w:val="00DE6CA5"/>
    <w:rsid w:val="00DF0DD6"/>
    <w:rsid w:val="00DF0E1C"/>
    <w:rsid w:val="00DF25DB"/>
    <w:rsid w:val="00DF2684"/>
    <w:rsid w:val="00DF2D59"/>
    <w:rsid w:val="00DF31E6"/>
    <w:rsid w:val="00DF4226"/>
    <w:rsid w:val="00DF542C"/>
    <w:rsid w:val="00DF6850"/>
    <w:rsid w:val="00DF7C04"/>
    <w:rsid w:val="00E008A8"/>
    <w:rsid w:val="00E018B3"/>
    <w:rsid w:val="00E0209D"/>
    <w:rsid w:val="00E020FC"/>
    <w:rsid w:val="00E02807"/>
    <w:rsid w:val="00E028BB"/>
    <w:rsid w:val="00E04FDE"/>
    <w:rsid w:val="00E05E00"/>
    <w:rsid w:val="00E05FD0"/>
    <w:rsid w:val="00E10F8E"/>
    <w:rsid w:val="00E125DB"/>
    <w:rsid w:val="00E13932"/>
    <w:rsid w:val="00E13AAC"/>
    <w:rsid w:val="00E13B6D"/>
    <w:rsid w:val="00E143F9"/>
    <w:rsid w:val="00E1692F"/>
    <w:rsid w:val="00E17323"/>
    <w:rsid w:val="00E2143D"/>
    <w:rsid w:val="00E22363"/>
    <w:rsid w:val="00E241FA"/>
    <w:rsid w:val="00E24EB4"/>
    <w:rsid w:val="00E26C7A"/>
    <w:rsid w:val="00E279A8"/>
    <w:rsid w:val="00E30534"/>
    <w:rsid w:val="00E31C76"/>
    <w:rsid w:val="00E3258F"/>
    <w:rsid w:val="00E326DC"/>
    <w:rsid w:val="00E332C1"/>
    <w:rsid w:val="00E33D79"/>
    <w:rsid w:val="00E34B36"/>
    <w:rsid w:val="00E3551F"/>
    <w:rsid w:val="00E35C76"/>
    <w:rsid w:val="00E365CE"/>
    <w:rsid w:val="00E40CFC"/>
    <w:rsid w:val="00E418FF"/>
    <w:rsid w:val="00E41EE7"/>
    <w:rsid w:val="00E44814"/>
    <w:rsid w:val="00E4546F"/>
    <w:rsid w:val="00E463C9"/>
    <w:rsid w:val="00E46FDA"/>
    <w:rsid w:val="00E46FE4"/>
    <w:rsid w:val="00E47221"/>
    <w:rsid w:val="00E51934"/>
    <w:rsid w:val="00E522A0"/>
    <w:rsid w:val="00E54FCC"/>
    <w:rsid w:val="00E55365"/>
    <w:rsid w:val="00E56012"/>
    <w:rsid w:val="00E560AC"/>
    <w:rsid w:val="00E56397"/>
    <w:rsid w:val="00E60FB7"/>
    <w:rsid w:val="00E61434"/>
    <w:rsid w:val="00E61B1E"/>
    <w:rsid w:val="00E628E9"/>
    <w:rsid w:val="00E62FC7"/>
    <w:rsid w:val="00E63137"/>
    <w:rsid w:val="00E632A3"/>
    <w:rsid w:val="00E6500F"/>
    <w:rsid w:val="00E65603"/>
    <w:rsid w:val="00E65701"/>
    <w:rsid w:val="00E66DFD"/>
    <w:rsid w:val="00E6709E"/>
    <w:rsid w:val="00E67BA8"/>
    <w:rsid w:val="00E702A6"/>
    <w:rsid w:val="00E70841"/>
    <w:rsid w:val="00E71130"/>
    <w:rsid w:val="00E722C6"/>
    <w:rsid w:val="00E73146"/>
    <w:rsid w:val="00E749C7"/>
    <w:rsid w:val="00E76473"/>
    <w:rsid w:val="00E76B83"/>
    <w:rsid w:val="00E76DA5"/>
    <w:rsid w:val="00E8043F"/>
    <w:rsid w:val="00E8158D"/>
    <w:rsid w:val="00E8246D"/>
    <w:rsid w:val="00E829F9"/>
    <w:rsid w:val="00E82D99"/>
    <w:rsid w:val="00E82E67"/>
    <w:rsid w:val="00E839C5"/>
    <w:rsid w:val="00E84675"/>
    <w:rsid w:val="00E8619A"/>
    <w:rsid w:val="00E861DD"/>
    <w:rsid w:val="00E865CD"/>
    <w:rsid w:val="00E87E10"/>
    <w:rsid w:val="00E90E03"/>
    <w:rsid w:val="00E93AC8"/>
    <w:rsid w:val="00E9485B"/>
    <w:rsid w:val="00E95AFE"/>
    <w:rsid w:val="00E97182"/>
    <w:rsid w:val="00E977B5"/>
    <w:rsid w:val="00E97FA6"/>
    <w:rsid w:val="00EA060C"/>
    <w:rsid w:val="00EA0828"/>
    <w:rsid w:val="00EA0F07"/>
    <w:rsid w:val="00EA1B6B"/>
    <w:rsid w:val="00EA2C7F"/>
    <w:rsid w:val="00EA32A1"/>
    <w:rsid w:val="00EA3A48"/>
    <w:rsid w:val="00EA4396"/>
    <w:rsid w:val="00EA5B0F"/>
    <w:rsid w:val="00EA6067"/>
    <w:rsid w:val="00EA6288"/>
    <w:rsid w:val="00EA6857"/>
    <w:rsid w:val="00EA77AE"/>
    <w:rsid w:val="00EB179B"/>
    <w:rsid w:val="00EB2726"/>
    <w:rsid w:val="00EB315E"/>
    <w:rsid w:val="00EB33C9"/>
    <w:rsid w:val="00EB4430"/>
    <w:rsid w:val="00EB44F8"/>
    <w:rsid w:val="00EB486D"/>
    <w:rsid w:val="00EB6660"/>
    <w:rsid w:val="00EB66C3"/>
    <w:rsid w:val="00EB66F0"/>
    <w:rsid w:val="00EB6C8F"/>
    <w:rsid w:val="00EB761F"/>
    <w:rsid w:val="00EC01B0"/>
    <w:rsid w:val="00EC04FD"/>
    <w:rsid w:val="00EC1D72"/>
    <w:rsid w:val="00EC2571"/>
    <w:rsid w:val="00EC3647"/>
    <w:rsid w:val="00EC4216"/>
    <w:rsid w:val="00EC74B1"/>
    <w:rsid w:val="00ED0839"/>
    <w:rsid w:val="00ED2E8D"/>
    <w:rsid w:val="00ED3828"/>
    <w:rsid w:val="00ED4DDD"/>
    <w:rsid w:val="00ED53D6"/>
    <w:rsid w:val="00ED5F43"/>
    <w:rsid w:val="00ED6AFC"/>
    <w:rsid w:val="00EE053B"/>
    <w:rsid w:val="00EE1377"/>
    <w:rsid w:val="00EE183E"/>
    <w:rsid w:val="00EE1D5F"/>
    <w:rsid w:val="00EE3C78"/>
    <w:rsid w:val="00EE436E"/>
    <w:rsid w:val="00EE60B3"/>
    <w:rsid w:val="00EE684D"/>
    <w:rsid w:val="00EE6C14"/>
    <w:rsid w:val="00EE7715"/>
    <w:rsid w:val="00EE795F"/>
    <w:rsid w:val="00EE7B91"/>
    <w:rsid w:val="00EF0051"/>
    <w:rsid w:val="00EF1AE1"/>
    <w:rsid w:val="00EF220E"/>
    <w:rsid w:val="00EF5699"/>
    <w:rsid w:val="00EF5E88"/>
    <w:rsid w:val="00EF704C"/>
    <w:rsid w:val="00EF7AF9"/>
    <w:rsid w:val="00F00FF4"/>
    <w:rsid w:val="00F01DF2"/>
    <w:rsid w:val="00F01E9B"/>
    <w:rsid w:val="00F02425"/>
    <w:rsid w:val="00F028C2"/>
    <w:rsid w:val="00F0702A"/>
    <w:rsid w:val="00F10C65"/>
    <w:rsid w:val="00F11538"/>
    <w:rsid w:val="00F11C5E"/>
    <w:rsid w:val="00F12360"/>
    <w:rsid w:val="00F12E70"/>
    <w:rsid w:val="00F13ECB"/>
    <w:rsid w:val="00F1442A"/>
    <w:rsid w:val="00F15CD2"/>
    <w:rsid w:val="00F16049"/>
    <w:rsid w:val="00F16ADD"/>
    <w:rsid w:val="00F20092"/>
    <w:rsid w:val="00F20695"/>
    <w:rsid w:val="00F216C3"/>
    <w:rsid w:val="00F21CBC"/>
    <w:rsid w:val="00F23BC5"/>
    <w:rsid w:val="00F244F1"/>
    <w:rsid w:val="00F24659"/>
    <w:rsid w:val="00F24E5E"/>
    <w:rsid w:val="00F25B34"/>
    <w:rsid w:val="00F25E9C"/>
    <w:rsid w:val="00F26224"/>
    <w:rsid w:val="00F26436"/>
    <w:rsid w:val="00F267A2"/>
    <w:rsid w:val="00F2725A"/>
    <w:rsid w:val="00F31444"/>
    <w:rsid w:val="00F31B02"/>
    <w:rsid w:val="00F329F9"/>
    <w:rsid w:val="00F33C1A"/>
    <w:rsid w:val="00F3446B"/>
    <w:rsid w:val="00F347F2"/>
    <w:rsid w:val="00F35B01"/>
    <w:rsid w:val="00F36173"/>
    <w:rsid w:val="00F3729A"/>
    <w:rsid w:val="00F37FB1"/>
    <w:rsid w:val="00F41071"/>
    <w:rsid w:val="00F41B05"/>
    <w:rsid w:val="00F43C90"/>
    <w:rsid w:val="00F448E1"/>
    <w:rsid w:val="00F456C2"/>
    <w:rsid w:val="00F47941"/>
    <w:rsid w:val="00F47E30"/>
    <w:rsid w:val="00F51A92"/>
    <w:rsid w:val="00F52224"/>
    <w:rsid w:val="00F52CF5"/>
    <w:rsid w:val="00F539EE"/>
    <w:rsid w:val="00F53BB7"/>
    <w:rsid w:val="00F547A9"/>
    <w:rsid w:val="00F6061D"/>
    <w:rsid w:val="00F60B45"/>
    <w:rsid w:val="00F619A4"/>
    <w:rsid w:val="00F62A00"/>
    <w:rsid w:val="00F63C60"/>
    <w:rsid w:val="00F658B2"/>
    <w:rsid w:val="00F667AB"/>
    <w:rsid w:val="00F678B7"/>
    <w:rsid w:val="00F67A9B"/>
    <w:rsid w:val="00F700FC"/>
    <w:rsid w:val="00F703BF"/>
    <w:rsid w:val="00F70769"/>
    <w:rsid w:val="00F71F68"/>
    <w:rsid w:val="00F75072"/>
    <w:rsid w:val="00F751FD"/>
    <w:rsid w:val="00F75EC2"/>
    <w:rsid w:val="00F76B40"/>
    <w:rsid w:val="00F77394"/>
    <w:rsid w:val="00F77DCE"/>
    <w:rsid w:val="00F80F2A"/>
    <w:rsid w:val="00F82EF7"/>
    <w:rsid w:val="00F84DBB"/>
    <w:rsid w:val="00F8520C"/>
    <w:rsid w:val="00F8536E"/>
    <w:rsid w:val="00F85554"/>
    <w:rsid w:val="00F86919"/>
    <w:rsid w:val="00F872C4"/>
    <w:rsid w:val="00F87FC8"/>
    <w:rsid w:val="00F87FEE"/>
    <w:rsid w:val="00F90826"/>
    <w:rsid w:val="00F916E1"/>
    <w:rsid w:val="00F921D4"/>
    <w:rsid w:val="00F9237F"/>
    <w:rsid w:val="00F92B69"/>
    <w:rsid w:val="00F933E2"/>
    <w:rsid w:val="00F93525"/>
    <w:rsid w:val="00F938B6"/>
    <w:rsid w:val="00F944BE"/>
    <w:rsid w:val="00F97795"/>
    <w:rsid w:val="00FA015B"/>
    <w:rsid w:val="00FA02E0"/>
    <w:rsid w:val="00FA2041"/>
    <w:rsid w:val="00FA2BEF"/>
    <w:rsid w:val="00FA2E1F"/>
    <w:rsid w:val="00FA3F1E"/>
    <w:rsid w:val="00FA53BE"/>
    <w:rsid w:val="00FA5E02"/>
    <w:rsid w:val="00FA5E44"/>
    <w:rsid w:val="00FA60E1"/>
    <w:rsid w:val="00FA6422"/>
    <w:rsid w:val="00FA69A2"/>
    <w:rsid w:val="00FA756F"/>
    <w:rsid w:val="00FA7BD2"/>
    <w:rsid w:val="00FA7FE4"/>
    <w:rsid w:val="00FB1F4C"/>
    <w:rsid w:val="00FB2200"/>
    <w:rsid w:val="00FB2820"/>
    <w:rsid w:val="00FB3D4C"/>
    <w:rsid w:val="00FB3F7C"/>
    <w:rsid w:val="00FB6402"/>
    <w:rsid w:val="00FB765F"/>
    <w:rsid w:val="00FB76F1"/>
    <w:rsid w:val="00FC0F94"/>
    <w:rsid w:val="00FC1257"/>
    <w:rsid w:val="00FC2820"/>
    <w:rsid w:val="00FC2FE7"/>
    <w:rsid w:val="00FC522E"/>
    <w:rsid w:val="00FC60DD"/>
    <w:rsid w:val="00FC6BE7"/>
    <w:rsid w:val="00FC6BF1"/>
    <w:rsid w:val="00FD03AA"/>
    <w:rsid w:val="00FD06DE"/>
    <w:rsid w:val="00FD08A3"/>
    <w:rsid w:val="00FD23F0"/>
    <w:rsid w:val="00FD3AF2"/>
    <w:rsid w:val="00FD3D4A"/>
    <w:rsid w:val="00FD3DAC"/>
    <w:rsid w:val="00FD4437"/>
    <w:rsid w:val="00FD484F"/>
    <w:rsid w:val="00FD4DFF"/>
    <w:rsid w:val="00FD4E8D"/>
    <w:rsid w:val="00FD502F"/>
    <w:rsid w:val="00FD5917"/>
    <w:rsid w:val="00FD59D1"/>
    <w:rsid w:val="00FD5F76"/>
    <w:rsid w:val="00FD69AE"/>
    <w:rsid w:val="00FD7C78"/>
    <w:rsid w:val="00FE02D8"/>
    <w:rsid w:val="00FE0A95"/>
    <w:rsid w:val="00FE1796"/>
    <w:rsid w:val="00FE1D82"/>
    <w:rsid w:val="00FE5D08"/>
    <w:rsid w:val="00FE682E"/>
    <w:rsid w:val="00FE6D98"/>
    <w:rsid w:val="00FF059C"/>
    <w:rsid w:val="00FF06E9"/>
    <w:rsid w:val="00FF14FF"/>
    <w:rsid w:val="00FF153A"/>
    <w:rsid w:val="00FF1CEC"/>
    <w:rsid w:val="00FF1D03"/>
    <w:rsid w:val="00FF30A3"/>
    <w:rsid w:val="00FF396E"/>
    <w:rsid w:val="00FF522C"/>
    <w:rsid w:val="00FF52E5"/>
    <w:rsid w:val="00FF58CE"/>
    <w:rsid w:val="00FF5A19"/>
    <w:rsid w:val="00FF6187"/>
    <w:rsid w:val="00FF6232"/>
    <w:rsid w:val="00FF74A1"/>
    <w:rsid w:val="00FF7C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41D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0356"/>
    <w:rPr>
      <w:rFonts w:ascii="Times New Roman" w:eastAsia="Times New Roman" w:hAnsi="Times New Roman" w:cs="Times New Roman"/>
      <w:lang w:val="de-DE" w:eastAsia="en-US"/>
    </w:rPr>
  </w:style>
  <w:style w:type="paragraph" w:styleId="Kop1">
    <w:name w:val="heading 1"/>
    <w:basedOn w:val="Standaard"/>
    <w:next w:val="Standaard"/>
    <w:link w:val="Kop1Char"/>
    <w:uiPriority w:val="9"/>
    <w:qFormat/>
    <w:rsid w:val="001D7382"/>
    <w:pPr>
      <w:keepNext/>
      <w:keepLines/>
      <w:spacing w:before="240"/>
      <w:outlineLvl w:val="0"/>
    </w:pPr>
    <w:rPr>
      <w:rFonts w:asciiTheme="majorHAnsi" w:eastAsiaTheme="majorEastAsia" w:hAnsiTheme="majorHAnsi" w:cstheme="majorBidi"/>
      <w:color w:val="365F91" w:themeColor="accent1" w:themeShade="BF"/>
      <w:sz w:val="32"/>
      <w:szCs w:val="32"/>
      <w:lang w:val="en-GB" w:eastAsia="sv-SE"/>
    </w:rPr>
  </w:style>
  <w:style w:type="paragraph" w:styleId="Kop2">
    <w:name w:val="heading 2"/>
    <w:basedOn w:val="Standaard"/>
    <w:link w:val="Kop2Char"/>
    <w:uiPriority w:val="9"/>
    <w:qFormat/>
    <w:rsid w:val="00906AA1"/>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AA1"/>
    <w:rPr>
      <w:rFonts w:ascii="Times" w:hAnsi="Times"/>
      <w:b/>
      <w:bCs/>
      <w:sz w:val="36"/>
      <w:szCs w:val="36"/>
      <w:lang w:val="de-DE" w:eastAsia="de-DE"/>
    </w:rPr>
  </w:style>
  <w:style w:type="character" w:styleId="Hyperlink">
    <w:name w:val="Hyperlink"/>
    <w:basedOn w:val="Standaardalinea-lettertype"/>
    <w:uiPriority w:val="99"/>
    <w:unhideWhenUsed/>
    <w:rsid w:val="00310B69"/>
    <w:rPr>
      <w:color w:val="0000FF" w:themeColor="hyperlink"/>
      <w:u w:val="single"/>
    </w:rPr>
  </w:style>
  <w:style w:type="paragraph" w:customStyle="1" w:styleId="EndNoteBibliography">
    <w:name w:val="EndNote Bibliography"/>
    <w:basedOn w:val="Standaard"/>
    <w:link w:val="EndNoteBibliographyTegn"/>
    <w:rsid w:val="00D977A0"/>
    <w:pPr>
      <w:spacing w:after="160"/>
    </w:pPr>
    <w:rPr>
      <w:rFonts w:eastAsiaTheme="minorHAnsi"/>
      <w:noProof/>
      <w:szCs w:val="22"/>
      <w:lang w:val="en-US"/>
    </w:rPr>
  </w:style>
  <w:style w:type="character" w:customStyle="1" w:styleId="EndNoteBibliographyTegn">
    <w:name w:val="EndNote Bibliography Tegn"/>
    <w:basedOn w:val="Standaardalinea-lettertype"/>
    <w:link w:val="EndNoteBibliography"/>
    <w:rsid w:val="00D977A0"/>
    <w:rPr>
      <w:rFonts w:ascii="Times New Roman" w:eastAsiaTheme="minorHAnsi" w:hAnsi="Times New Roman" w:cs="Times New Roman"/>
      <w:noProof/>
      <w:szCs w:val="22"/>
      <w:lang w:val="en-US" w:eastAsia="en-US"/>
    </w:rPr>
  </w:style>
  <w:style w:type="paragraph" w:styleId="Lijstalinea">
    <w:name w:val="List Paragraph"/>
    <w:basedOn w:val="Standaard"/>
    <w:uiPriority w:val="34"/>
    <w:qFormat/>
    <w:rsid w:val="00F8520C"/>
    <w:pPr>
      <w:ind w:left="720"/>
      <w:contextualSpacing/>
    </w:pPr>
    <w:rPr>
      <w:rFonts w:asciiTheme="minorHAnsi" w:eastAsiaTheme="minorEastAsia" w:hAnsiTheme="minorHAnsi" w:cstheme="minorBidi"/>
      <w:lang w:val="en-GB" w:eastAsia="sv-SE"/>
    </w:rPr>
  </w:style>
  <w:style w:type="table" w:styleId="Tabelraster">
    <w:name w:val="Table Grid"/>
    <w:basedOn w:val="Standaardtabel"/>
    <w:uiPriority w:val="59"/>
    <w:rsid w:val="00C143A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06AA1"/>
    <w:pPr>
      <w:tabs>
        <w:tab w:val="center" w:pos="4536"/>
        <w:tab w:val="right" w:pos="9072"/>
      </w:tabs>
    </w:pPr>
    <w:rPr>
      <w:rFonts w:asciiTheme="minorHAnsi" w:eastAsiaTheme="minorEastAsia" w:hAnsiTheme="minorHAnsi" w:cstheme="minorBidi"/>
      <w:lang w:val="en-US" w:eastAsia="sv-SE"/>
    </w:rPr>
  </w:style>
  <w:style w:type="character" w:customStyle="1" w:styleId="VoettekstChar">
    <w:name w:val="Voettekst Char"/>
    <w:basedOn w:val="Standaardalinea-lettertype"/>
    <w:link w:val="Voettekst"/>
    <w:uiPriority w:val="99"/>
    <w:rsid w:val="00906AA1"/>
    <w:rPr>
      <w:lang w:val="en-US"/>
    </w:rPr>
  </w:style>
  <w:style w:type="character" w:styleId="Paginanummer">
    <w:name w:val="page number"/>
    <w:basedOn w:val="Standaardalinea-lettertype"/>
    <w:uiPriority w:val="99"/>
    <w:semiHidden/>
    <w:unhideWhenUsed/>
    <w:rsid w:val="00906AA1"/>
  </w:style>
  <w:style w:type="character" w:customStyle="1" w:styleId="BallontekstChar">
    <w:name w:val="Ballontekst Char"/>
    <w:basedOn w:val="Standaardalinea-lettertype"/>
    <w:link w:val="Ballontekst"/>
    <w:uiPriority w:val="99"/>
    <w:semiHidden/>
    <w:rsid w:val="00906AA1"/>
    <w:rPr>
      <w:rFonts w:ascii="Lucida Grande" w:hAnsi="Lucida Grande" w:cs="Lucida Grande"/>
      <w:sz w:val="18"/>
      <w:szCs w:val="18"/>
      <w:lang w:val="en-US"/>
    </w:rPr>
  </w:style>
  <w:style w:type="paragraph" w:styleId="Ballontekst">
    <w:name w:val="Balloon Text"/>
    <w:basedOn w:val="Standaard"/>
    <w:link w:val="BallontekstChar"/>
    <w:uiPriority w:val="99"/>
    <w:semiHidden/>
    <w:unhideWhenUsed/>
    <w:rsid w:val="00906AA1"/>
    <w:rPr>
      <w:rFonts w:ascii="Lucida Grande" w:hAnsi="Lucida Grande" w:cs="Lucida Grande"/>
      <w:sz w:val="18"/>
      <w:szCs w:val="18"/>
      <w:lang w:val="en-US" w:eastAsia="sv-SE"/>
    </w:rPr>
  </w:style>
  <w:style w:type="character" w:customStyle="1" w:styleId="TekstopmerkingChar">
    <w:name w:val="Tekst opmerking Char"/>
    <w:basedOn w:val="Standaardalinea-lettertype"/>
    <w:link w:val="Tekstopmerking"/>
    <w:uiPriority w:val="99"/>
    <w:semiHidden/>
    <w:rsid w:val="00906AA1"/>
    <w:rPr>
      <w:sz w:val="20"/>
      <w:szCs w:val="20"/>
      <w:lang w:val="en-US"/>
    </w:rPr>
  </w:style>
  <w:style w:type="paragraph" w:styleId="Tekstopmerking">
    <w:name w:val="annotation text"/>
    <w:basedOn w:val="Standaard"/>
    <w:link w:val="TekstopmerkingChar"/>
    <w:uiPriority w:val="99"/>
    <w:semiHidden/>
    <w:unhideWhenUsed/>
    <w:rsid w:val="00906AA1"/>
    <w:rPr>
      <w:rFonts w:asciiTheme="minorHAnsi" w:hAnsiTheme="minorHAnsi" w:cstheme="minorBidi"/>
      <w:sz w:val="20"/>
      <w:szCs w:val="20"/>
      <w:lang w:val="en-US" w:eastAsia="sv-SE"/>
    </w:rPr>
  </w:style>
  <w:style w:type="character" w:customStyle="1" w:styleId="OnderwerpvanopmerkingChar">
    <w:name w:val="Onderwerp van opmerking Char"/>
    <w:basedOn w:val="TekstopmerkingChar"/>
    <w:link w:val="Onderwerpvanopmerking"/>
    <w:uiPriority w:val="99"/>
    <w:semiHidden/>
    <w:rsid w:val="00906AA1"/>
    <w:rPr>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906AA1"/>
    <w:rPr>
      <w:b/>
      <w:bCs/>
    </w:rPr>
  </w:style>
  <w:style w:type="paragraph" w:styleId="Koptekst">
    <w:name w:val="header"/>
    <w:basedOn w:val="Standaard"/>
    <w:link w:val="KoptekstChar"/>
    <w:uiPriority w:val="99"/>
    <w:unhideWhenUsed/>
    <w:rsid w:val="00906AA1"/>
    <w:pPr>
      <w:tabs>
        <w:tab w:val="center" w:pos="4536"/>
        <w:tab w:val="right" w:pos="9072"/>
      </w:tabs>
    </w:pPr>
    <w:rPr>
      <w:rFonts w:asciiTheme="minorHAnsi" w:eastAsiaTheme="minorEastAsia" w:hAnsiTheme="minorHAnsi" w:cstheme="minorBidi"/>
      <w:lang w:val="en-US" w:eastAsia="sv-SE"/>
    </w:rPr>
  </w:style>
  <w:style w:type="character" w:customStyle="1" w:styleId="KoptekstChar">
    <w:name w:val="Koptekst Char"/>
    <w:basedOn w:val="Standaardalinea-lettertype"/>
    <w:link w:val="Koptekst"/>
    <w:uiPriority w:val="99"/>
    <w:rsid w:val="00906AA1"/>
    <w:rPr>
      <w:lang w:val="en-US"/>
    </w:rPr>
  </w:style>
  <w:style w:type="paragraph" w:styleId="Voetnoottekst">
    <w:name w:val="footnote text"/>
    <w:basedOn w:val="Standaard"/>
    <w:link w:val="VoetnoottekstChar"/>
    <w:uiPriority w:val="99"/>
    <w:unhideWhenUsed/>
    <w:rsid w:val="00906AA1"/>
    <w:rPr>
      <w:rFonts w:asciiTheme="minorHAnsi" w:eastAsiaTheme="minorEastAsia" w:hAnsiTheme="minorHAnsi" w:cstheme="minorBidi"/>
      <w:lang w:val="en-US" w:eastAsia="sv-SE"/>
    </w:rPr>
  </w:style>
  <w:style w:type="character" w:customStyle="1" w:styleId="VoetnoottekstChar">
    <w:name w:val="Voetnoottekst Char"/>
    <w:basedOn w:val="Standaardalinea-lettertype"/>
    <w:link w:val="Voetnoottekst"/>
    <w:uiPriority w:val="99"/>
    <w:rsid w:val="00906AA1"/>
    <w:rPr>
      <w:lang w:val="en-US"/>
    </w:rPr>
  </w:style>
  <w:style w:type="character" w:styleId="Voetnootmarkering">
    <w:name w:val="footnote reference"/>
    <w:basedOn w:val="Standaardalinea-lettertype"/>
    <w:uiPriority w:val="99"/>
    <w:unhideWhenUsed/>
    <w:rsid w:val="00906AA1"/>
    <w:rPr>
      <w:vertAlign w:val="superscript"/>
    </w:rPr>
  </w:style>
  <w:style w:type="character" w:styleId="GevolgdeHyperlink">
    <w:name w:val="FollowedHyperlink"/>
    <w:basedOn w:val="Standaardalinea-lettertype"/>
    <w:uiPriority w:val="99"/>
    <w:semiHidden/>
    <w:unhideWhenUsed/>
    <w:rsid w:val="00117142"/>
    <w:rPr>
      <w:color w:val="800080" w:themeColor="followedHyperlink"/>
      <w:u w:val="single"/>
    </w:rPr>
  </w:style>
  <w:style w:type="character" w:customStyle="1" w:styleId="Kop1Char">
    <w:name w:val="Kop 1 Char"/>
    <w:basedOn w:val="Standaardalinea-lettertype"/>
    <w:link w:val="Kop1"/>
    <w:uiPriority w:val="9"/>
    <w:rsid w:val="001D7382"/>
    <w:rPr>
      <w:rFonts w:asciiTheme="majorHAnsi" w:eastAsiaTheme="majorEastAsia" w:hAnsiTheme="majorHAnsi" w:cstheme="majorBidi"/>
      <w:color w:val="365F91" w:themeColor="accent1" w:themeShade="BF"/>
      <w:sz w:val="32"/>
      <w:szCs w:val="32"/>
      <w:lang w:val="en-GB"/>
    </w:rPr>
  </w:style>
  <w:style w:type="paragraph" w:styleId="Normaalweb">
    <w:name w:val="Normal (Web)"/>
    <w:basedOn w:val="Standaard"/>
    <w:uiPriority w:val="99"/>
    <w:semiHidden/>
    <w:unhideWhenUsed/>
    <w:rsid w:val="00744B51"/>
    <w:rPr>
      <w:rFonts w:eastAsiaTheme="minorEastAsia"/>
      <w:lang w:val="en-GB" w:eastAsia="sv-SE"/>
    </w:rPr>
  </w:style>
  <w:style w:type="character" w:customStyle="1" w:styleId="apple-converted-space">
    <w:name w:val="apple-converted-space"/>
    <w:basedOn w:val="Standaardalinea-lettertype"/>
    <w:rsid w:val="007E36FA"/>
  </w:style>
  <w:style w:type="character" w:styleId="Verwijzingopmerking">
    <w:name w:val="annotation reference"/>
    <w:basedOn w:val="Standaardalinea-lettertype"/>
    <w:uiPriority w:val="99"/>
    <w:semiHidden/>
    <w:unhideWhenUsed/>
    <w:rsid w:val="00665715"/>
    <w:rPr>
      <w:sz w:val="18"/>
      <w:szCs w:val="18"/>
    </w:rPr>
  </w:style>
  <w:style w:type="paragraph" w:styleId="Revisie">
    <w:name w:val="Revision"/>
    <w:hidden/>
    <w:uiPriority w:val="99"/>
    <w:semiHidden/>
    <w:rsid w:val="00EA6288"/>
    <w:rPr>
      <w:lang w:val="en-GB"/>
    </w:rPr>
  </w:style>
  <w:style w:type="character" w:customStyle="1" w:styleId="UnresolvedMention">
    <w:name w:val="Unresolved Mention"/>
    <w:basedOn w:val="Standaardalinea-lettertype"/>
    <w:uiPriority w:val="99"/>
    <w:rsid w:val="005055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0356"/>
    <w:rPr>
      <w:rFonts w:ascii="Times New Roman" w:eastAsia="Times New Roman" w:hAnsi="Times New Roman" w:cs="Times New Roman"/>
      <w:lang w:val="de-DE" w:eastAsia="en-US"/>
    </w:rPr>
  </w:style>
  <w:style w:type="paragraph" w:styleId="Kop1">
    <w:name w:val="heading 1"/>
    <w:basedOn w:val="Standaard"/>
    <w:next w:val="Standaard"/>
    <w:link w:val="Kop1Char"/>
    <w:uiPriority w:val="9"/>
    <w:qFormat/>
    <w:rsid w:val="001D7382"/>
    <w:pPr>
      <w:keepNext/>
      <w:keepLines/>
      <w:spacing w:before="240"/>
      <w:outlineLvl w:val="0"/>
    </w:pPr>
    <w:rPr>
      <w:rFonts w:asciiTheme="majorHAnsi" w:eastAsiaTheme="majorEastAsia" w:hAnsiTheme="majorHAnsi" w:cstheme="majorBidi"/>
      <w:color w:val="365F91" w:themeColor="accent1" w:themeShade="BF"/>
      <w:sz w:val="32"/>
      <w:szCs w:val="32"/>
      <w:lang w:val="en-GB" w:eastAsia="sv-SE"/>
    </w:rPr>
  </w:style>
  <w:style w:type="paragraph" w:styleId="Kop2">
    <w:name w:val="heading 2"/>
    <w:basedOn w:val="Standaard"/>
    <w:link w:val="Kop2Char"/>
    <w:uiPriority w:val="9"/>
    <w:qFormat/>
    <w:rsid w:val="00906AA1"/>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AA1"/>
    <w:rPr>
      <w:rFonts w:ascii="Times" w:hAnsi="Times"/>
      <w:b/>
      <w:bCs/>
      <w:sz w:val="36"/>
      <w:szCs w:val="36"/>
      <w:lang w:val="de-DE" w:eastAsia="de-DE"/>
    </w:rPr>
  </w:style>
  <w:style w:type="character" w:styleId="Hyperlink">
    <w:name w:val="Hyperlink"/>
    <w:basedOn w:val="Standaardalinea-lettertype"/>
    <w:uiPriority w:val="99"/>
    <w:unhideWhenUsed/>
    <w:rsid w:val="00310B69"/>
    <w:rPr>
      <w:color w:val="0000FF" w:themeColor="hyperlink"/>
      <w:u w:val="single"/>
    </w:rPr>
  </w:style>
  <w:style w:type="paragraph" w:customStyle="1" w:styleId="EndNoteBibliography">
    <w:name w:val="EndNote Bibliography"/>
    <w:basedOn w:val="Standaard"/>
    <w:link w:val="EndNoteBibliographyTegn"/>
    <w:rsid w:val="00D977A0"/>
    <w:pPr>
      <w:spacing w:after="160"/>
    </w:pPr>
    <w:rPr>
      <w:rFonts w:eastAsiaTheme="minorHAnsi"/>
      <w:noProof/>
      <w:szCs w:val="22"/>
      <w:lang w:val="en-US"/>
    </w:rPr>
  </w:style>
  <w:style w:type="character" w:customStyle="1" w:styleId="EndNoteBibliographyTegn">
    <w:name w:val="EndNote Bibliography Tegn"/>
    <w:basedOn w:val="Standaardalinea-lettertype"/>
    <w:link w:val="EndNoteBibliography"/>
    <w:rsid w:val="00D977A0"/>
    <w:rPr>
      <w:rFonts w:ascii="Times New Roman" w:eastAsiaTheme="minorHAnsi" w:hAnsi="Times New Roman" w:cs="Times New Roman"/>
      <w:noProof/>
      <w:szCs w:val="22"/>
      <w:lang w:val="en-US" w:eastAsia="en-US"/>
    </w:rPr>
  </w:style>
  <w:style w:type="paragraph" w:styleId="Lijstalinea">
    <w:name w:val="List Paragraph"/>
    <w:basedOn w:val="Standaard"/>
    <w:uiPriority w:val="34"/>
    <w:qFormat/>
    <w:rsid w:val="00F8520C"/>
    <w:pPr>
      <w:ind w:left="720"/>
      <w:contextualSpacing/>
    </w:pPr>
    <w:rPr>
      <w:rFonts w:asciiTheme="minorHAnsi" w:eastAsiaTheme="minorEastAsia" w:hAnsiTheme="minorHAnsi" w:cstheme="minorBidi"/>
      <w:lang w:val="en-GB" w:eastAsia="sv-SE"/>
    </w:rPr>
  </w:style>
  <w:style w:type="table" w:styleId="Tabelraster">
    <w:name w:val="Table Grid"/>
    <w:basedOn w:val="Standaardtabel"/>
    <w:uiPriority w:val="59"/>
    <w:rsid w:val="00C143A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06AA1"/>
    <w:pPr>
      <w:tabs>
        <w:tab w:val="center" w:pos="4536"/>
        <w:tab w:val="right" w:pos="9072"/>
      </w:tabs>
    </w:pPr>
    <w:rPr>
      <w:rFonts w:asciiTheme="minorHAnsi" w:eastAsiaTheme="minorEastAsia" w:hAnsiTheme="minorHAnsi" w:cstheme="minorBidi"/>
      <w:lang w:val="en-US" w:eastAsia="sv-SE"/>
    </w:rPr>
  </w:style>
  <w:style w:type="character" w:customStyle="1" w:styleId="VoettekstChar">
    <w:name w:val="Voettekst Char"/>
    <w:basedOn w:val="Standaardalinea-lettertype"/>
    <w:link w:val="Voettekst"/>
    <w:uiPriority w:val="99"/>
    <w:rsid w:val="00906AA1"/>
    <w:rPr>
      <w:lang w:val="en-US"/>
    </w:rPr>
  </w:style>
  <w:style w:type="character" w:styleId="Paginanummer">
    <w:name w:val="page number"/>
    <w:basedOn w:val="Standaardalinea-lettertype"/>
    <w:uiPriority w:val="99"/>
    <w:semiHidden/>
    <w:unhideWhenUsed/>
    <w:rsid w:val="00906AA1"/>
  </w:style>
  <w:style w:type="character" w:customStyle="1" w:styleId="BallontekstChar">
    <w:name w:val="Ballontekst Char"/>
    <w:basedOn w:val="Standaardalinea-lettertype"/>
    <w:link w:val="Ballontekst"/>
    <w:uiPriority w:val="99"/>
    <w:semiHidden/>
    <w:rsid w:val="00906AA1"/>
    <w:rPr>
      <w:rFonts w:ascii="Lucida Grande" w:hAnsi="Lucida Grande" w:cs="Lucida Grande"/>
      <w:sz w:val="18"/>
      <w:szCs w:val="18"/>
      <w:lang w:val="en-US"/>
    </w:rPr>
  </w:style>
  <w:style w:type="paragraph" w:styleId="Ballontekst">
    <w:name w:val="Balloon Text"/>
    <w:basedOn w:val="Standaard"/>
    <w:link w:val="BallontekstChar"/>
    <w:uiPriority w:val="99"/>
    <w:semiHidden/>
    <w:unhideWhenUsed/>
    <w:rsid w:val="00906AA1"/>
    <w:rPr>
      <w:rFonts w:ascii="Lucida Grande" w:hAnsi="Lucida Grande" w:cs="Lucida Grande"/>
      <w:sz w:val="18"/>
      <w:szCs w:val="18"/>
      <w:lang w:val="en-US" w:eastAsia="sv-SE"/>
    </w:rPr>
  </w:style>
  <w:style w:type="character" w:customStyle="1" w:styleId="TekstopmerkingChar">
    <w:name w:val="Tekst opmerking Char"/>
    <w:basedOn w:val="Standaardalinea-lettertype"/>
    <w:link w:val="Tekstopmerking"/>
    <w:uiPriority w:val="99"/>
    <w:semiHidden/>
    <w:rsid w:val="00906AA1"/>
    <w:rPr>
      <w:sz w:val="20"/>
      <w:szCs w:val="20"/>
      <w:lang w:val="en-US"/>
    </w:rPr>
  </w:style>
  <w:style w:type="paragraph" w:styleId="Tekstopmerking">
    <w:name w:val="annotation text"/>
    <w:basedOn w:val="Standaard"/>
    <w:link w:val="TekstopmerkingChar"/>
    <w:uiPriority w:val="99"/>
    <w:semiHidden/>
    <w:unhideWhenUsed/>
    <w:rsid w:val="00906AA1"/>
    <w:rPr>
      <w:rFonts w:asciiTheme="minorHAnsi" w:hAnsiTheme="minorHAnsi" w:cstheme="minorBidi"/>
      <w:sz w:val="20"/>
      <w:szCs w:val="20"/>
      <w:lang w:val="en-US" w:eastAsia="sv-SE"/>
    </w:rPr>
  </w:style>
  <w:style w:type="character" w:customStyle="1" w:styleId="OnderwerpvanopmerkingChar">
    <w:name w:val="Onderwerp van opmerking Char"/>
    <w:basedOn w:val="TekstopmerkingChar"/>
    <w:link w:val="Onderwerpvanopmerking"/>
    <w:uiPriority w:val="99"/>
    <w:semiHidden/>
    <w:rsid w:val="00906AA1"/>
    <w:rPr>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906AA1"/>
    <w:rPr>
      <w:b/>
      <w:bCs/>
    </w:rPr>
  </w:style>
  <w:style w:type="paragraph" w:styleId="Koptekst">
    <w:name w:val="header"/>
    <w:basedOn w:val="Standaard"/>
    <w:link w:val="KoptekstChar"/>
    <w:uiPriority w:val="99"/>
    <w:unhideWhenUsed/>
    <w:rsid w:val="00906AA1"/>
    <w:pPr>
      <w:tabs>
        <w:tab w:val="center" w:pos="4536"/>
        <w:tab w:val="right" w:pos="9072"/>
      </w:tabs>
    </w:pPr>
    <w:rPr>
      <w:rFonts w:asciiTheme="minorHAnsi" w:eastAsiaTheme="minorEastAsia" w:hAnsiTheme="minorHAnsi" w:cstheme="minorBidi"/>
      <w:lang w:val="en-US" w:eastAsia="sv-SE"/>
    </w:rPr>
  </w:style>
  <w:style w:type="character" w:customStyle="1" w:styleId="KoptekstChar">
    <w:name w:val="Koptekst Char"/>
    <w:basedOn w:val="Standaardalinea-lettertype"/>
    <w:link w:val="Koptekst"/>
    <w:uiPriority w:val="99"/>
    <w:rsid w:val="00906AA1"/>
    <w:rPr>
      <w:lang w:val="en-US"/>
    </w:rPr>
  </w:style>
  <w:style w:type="paragraph" w:styleId="Voetnoottekst">
    <w:name w:val="footnote text"/>
    <w:basedOn w:val="Standaard"/>
    <w:link w:val="VoetnoottekstChar"/>
    <w:uiPriority w:val="99"/>
    <w:unhideWhenUsed/>
    <w:rsid w:val="00906AA1"/>
    <w:rPr>
      <w:rFonts w:asciiTheme="minorHAnsi" w:eastAsiaTheme="minorEastAsia" w:hAnsiTheme="minorHAnsi" w:cstheme="minorBidi"/>
      <w:lang w:val="en-US" w:eastAsia="sv-SE"/>
    </w:rPr>
  </w:style>
  <w:style w:type="character" w:customStyle="1" w:styleId="VoetnoottekstChar">
    <w:name w:val="Voetnoottekst Char"/>
    <w:basedOn w:val="Standaardalinea-lettertype"/>
    <w:link w:val="Voetnoottekst"/>
    <w:uiPriority w:val="99"/>
    <w:rsid w:val="00906AA1"/>
    <w:rPr>
      <w:lang w:val="en-US"/>
    </w:rPr>
  </w:style>
  <w:style w:type="character" w:styleId="Voetnootmarkering">
    <w:name w:val="footnote reference"/>
    <w:basedOn w:val="Standaardalinea-lettertype"/>
    <w:uiPriority w:val="99"/>
    <w:unhideWhenUsed/>
    <w:rsid w:val="00906AA1"/>
    <w:rPr>
      <w:vertAlign w:val="superscript"/>
    </w:rPr>
  </w:style>
  <w:style w:type="character" w:styleId="GevolgdeHyperlink">
    <w:name w:val="FollowedHyperlink"/>
    <w:basedOn w:val="Standaardalinea-lettertype"/>
    <w:uiPriority w:val="99"/>
    <w:semiHidden/>
    <w:unhideWhenUsed/>
    <w:rsid w:val="00117142"/>
    <w:rPr>
      <w:color w:val="800080" w:themeColor="followedHyperlink"/>
      <w:u w:val="single"/>
    </w:rPr>
  </w:style>
  <w:style w:type="character" w:customStyle="1" w:styleId="Kop1Char">
    <w:name w:val="Kop 1 Char"/>
    <w:basedOn w:val="Standaardalinea-lettertype"/>
    <w:link w:val="Kop1"/>
    <w:uiPriority w:val="9"/>
    <w:rsid w:val="001D7382"/>
    <w:rPr>
      <w:rFonts w:asciiTheme="majorHAnsi" w:eastAsiaTheme="majorEastAsia" w:hAnsiTheme="majorHAnsi" w:cstheme="majorBidi"/>
      <w:color w:val="365F91" w:themeColor="accent1" w:themeShade="BF"/>
      <w:sz w:val="32"/>
      <w:szCs w:val="32"/>
      <w:lang w:val="en-GB"/>
    </w:rPr>
  </w:style>
  <w:style w:type="paragraph" w:styleId="Normaalweb">
    <w:name w:val="Normal (Web)"/>
    <w:basedOn w:val="Standaard"/>
    <w:uiPriority w:val="99"/>
    <w:semiHidden/>
    <w:unhideWhenUsed/>
    <w:rsid w:val="00744B51"/>
    <w:rPr>
      <w:rFonts w:eastAsiaTheme="minorEastAsia"/>
      <w:lang w:val="en-GB" w:eastAsia="sv-SE"/>
    </w:rPr>
  </w:style>
  <w:style w:type="character" w:customStyle="1" w:styleId="apple-converted-space">
    <w:name w:val="apple-converted-space"/>
    <w:basedOn w:val="Standaardalinea-lettertype"/>
    <w:rsid w:val="007E36FA"/>
  </w:style>
  <w:style w:type="character" w:styleId="Verwijzingopmerking">
    <w:name w:val="annotation reference"/>
    <w:basedOn w:val="Standaardalinea-lettertype"/>
    <w:uiPriority w:val="99"/>
    <w:semiHidden/>
    <w:unhideWhenUsed/>
    <w:rsid w:val="00665715"/>
    <w:rPr>
      <w:sz w:val="18"/>
      <w:szCs w:val="18"/>
    </w:rPr>
  </w:style>
  <w:style w:type="paragraph" w:styleId="Revisie">
    <w:name w:val="Revision"/>
    <w:hidden/>
    <w:uiPriority w:val="99"/>
    <w:semiHidden/>
    <w:rsid w:val="00EA6288"/>
    <w:rPr>
      <w:lang w:val="en-GB"/>
    </w:rPr>
  </w:style>
  <w:style w:type="character" w:customStyle="1" w:styleId="UnresolvedMention">
    <w:name w:val="Unresolved Mention"/>
    <w:basedOn w:val="Standaardalinea-lettertype"/>
    <w:uiPriority w:val="99"/>
    <w:rsid w:val="00505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903">
      <w:bodyDiv w:val="1"/>
      <w:marLeft w:val="0"/>
      <w:marRight w:val="0"/>
      <w:marTop w:val="0"/>
      <w:marBottom w:val="0"/>
      <w:divBdr>
        <w:top w:val="none" w:sz="0" w:space="0" w:color="auto"/>
        <w:left w:val="none" w:sz="0" w:space="0" w:color="auto"/>
        <w:bottom w:val="none" w:sz="0" w:space="0" w:color="auto"/>
        <w:right w:val="none" w:sz="0" w:space="0" w:color="auto"/>
      </w:divBdr>
      <w:divsChild>
        <w:div w:id="1504859125">
          <w:marLeft w:val="0"/>
          <w:marRight w:val="0"/>
          <w:marTop w:val="0"/>
          <w:marBottom w:val="0"/>
          <w:divBdr>
            <w:top w:val="none" w:sz="0" w:space="0" w:color="auto"/>
            <w:left w:val="none" w:sz="0" w:space="0" w:color="auto"/>
            <w:bottom w:val="none" w:sz="0" w:space="0" w:color="auto"/>
            <w:right w:val="none" w:sz="0" w:space="0" w:color="auto"/>
          </w:divBdr>
          <w:divsChild>
            <w:div w:id="1645042556">
              <w:marLeft w:val="0"/>
              <w:marRight w:val="0"/>
              <w:marTop w:val="0"/>
              <w:marBottom w:val="0"/>
              <w:divBdr>
                <w:top w:val="none" w:sz="0" w:space="0" w:color="auto"/>
                <w:left w:val="none" w:sz="0" w:space="0" w:color="auto"/>
                <w:bottom w:val="none" w:sz="0" w:space="0" w:color="auto"/>
                <w:right w:val="none" w:sz="0" w:space="0" w:color="auto"/>
              </w:divBdr>
              <w:divsChild>
                <w:div w:id="389497116">
                  <w:marLeft w:val="0"/>
                  <w:marRight w:val="0"/>
                  <w:marTop w:val="0"/>
                  <w:marBottom w:val="0"/>
                  <w:divBdr>
                    <w:top w:val="none" w:sz="0" w:space="0" w:color="auto"/>
                    <w:left w:val="none" w:sz="0" w:space="0" w:color="auto"/>
                    <w:bottom w:val="none" w:sz="0" w:space="0" w:color="auto"/>
                    <w:right w:val="none" w:sz="0" w:space="0" w:color="auto"/>
                  </w:divBdr>
                  <w:divsChild>
                    <w:div w:id="1130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8856">
      <w:bodyDiv w:val="1"/>
      <w:marLeft w:val="0"/>
      <w:marRight w:val="0"/>
      <w:marTop w:val="0"/>
      <w:marBottom w:val="0"/>
      <w:divBdr>
        <w:top w:val="none" w:sz="0" w:space="0" w:color="auto"/>
        <w:left w:val="none" w:sz="0" w:space="0" w:color="auto"/>
        <w:bottom w:val="none" w:sz="0" w:space="0" w:color="auto"/>
        <w:right w:val="none" w:sz="0" w:space="0" w:color="auto"/>
      </w:divBdr>
    </w:div>
    <w:div w:id="95567749">
      <w:bodyDiv w:val="1"/>
      <w:marLeft w:val="0"/>
      <w:marRight w:val="0"/>
      <w:marTop w:val="0"/>
      <w:marBottom w:val="0"/>
      <w:divBdr>
        <w:top w:val="none" w:sz="0" w:space="0" w:color="auto"/>
        <w:left w:val="none" w:sz="0" w:space="0" w:color="auto"/>
        <w:bottom w:val="none" w:sz="0" w:space="0" w:color="auto"/>
        <w:right w:val="none" w:sz="0" w:space="0" w:color="auto"/>
      </w:divBdr>
    </w:div>
    <w:div w:id="116989760">
      <w:bodyDiv w:val="1"/>
      <w:marLeft w:val="0"/>
      <w:marRight w:val="0"/>
      <w:marTop w:val="0"/>
      <w:marBottom w:val="0"/>
      <w:divBdr>
        <w:top w:val="none" w:sz="0" w:space="0" w:color="auto"/>
        <w:left w:val="none" w:sz="0" w:space="0" w:color="auto"/>
        <w:bottom w:val="none" w:sz="0" w:space="0" w:color="auto"/>
        <w:right w:val="none" w:sz="0" w:space="0" w:color="auto"/>
      </w:divBdr>
    </w:div>
    <w:div w:id="135538631">
      <w:bodyDiv w:val="1"/>
      <w:marLeft w:val="0"/>
      <w:marRight w:val="0"/>
      <w:marTop w:val="0"/>
      <w:marBottom w:val="0"/>
      <w:divBdr>
        <w:top w:val="none" w:sz="0" w:space="0" w:color="auto"/>
        <w:left w:val="none" w:sz="0" w:space="0" w:color="auto"/>
        <w:bottom w:val="none" w:sz="0" w:space="0" w:color="auto"/>
        <w:right w:val="none" w:sz="0" w:space="0" w:color="auto"/>
      </w:divBdr>
    </w:div>
    <w:div w:id="135803384">
      <w:bodyDiv w:val="1"/>
      <w:marLeft w:val="0"/>
      <w:marRight w:val="0"/>
      <w:marTop w:val="0"/>
      <w:marBottom w:val="0"/>
      <w:divBdr>
        <w:top w:val="none" w:sz="0" w:space="0" w:color="auto"/>
        <w:left w:val="none" w:sz="0" w:space="0" w:color="auto"/>
        <w:bottom w:val="none" w:sz="0" w:space="0" w:color="auto"/>
        <w:right w:val="none" w:sz="0" w:space="0" w:color="auto"/>
      </w:divBdr>
    </w:div>
    <w:div w:id="145324605">
      <w:bodyDiv w:val="1"/>
      <w:marLeft w:val="0"/>
      <w:marRight w:val="0"/>
      <w:marTop w:val="0"/>
      <w:marBottom w:val="0"/>
      <w:divBdr>
        <w:top w:val="none" w:sz="0" w:space="0" w:color="auto"/>
        <w:left w:val="none" w:sz="0" w:space="0" w:color="auto"/>
        <w:bottom w:val="none" w:sz="0" w:space="0" w:color="auto"/>
        <w:right w:val="none" w:sz="0" w:space="0" w:color="auto"/>
      </w:divBdr>
    </w:div>
    <w:div w:id="153449577">
      <w:bodyDiv w:val="1"/>
      <w:marLeft w:val="0"/>
      <w:marRight w:val="0"/>
      <w:marTop w:val="0"/>
      <w:marBottom w:val="0"/>
      <w:divBdr>
        <w:top w:val="none" w:sz="0" w:space="0" w:color="auto"/>
        <w:left w:val="none" w:sz="0" w:space="0" w:color="auto"/>
        <w:bottom w:val="none" w:sz="0" w:space="0" w:color="auto"/>
        <w:right w:val="none" w:sz="0" w:space="0" w:color="auto"/>
      </w:divBdr>
    </w:div>
    <w:div w:id="154999212">
      <w:bodyDiv w:val="1"/>
      <w:marLeft w:val="0"/>
      <w:marRight w:val="0"/>
      <w:marTop w:val="0"/>
      <w:marBottom w:val="0"/>
      <w:divBdr>
        <w:top w:val="none" w:sz="0" w:space="0" w:color="auto"/>
        <w:left w:val="none" w:sz="0" w:space="0" w:color="auto"/>
        <w:bottom w:val="none" w:sz="0" w:space="0" w:color="auto"/>
        <w:right w:val="none" w:sz="0" w:space="0" w:color="auto"/>
      </w:divBdr>
    </w:div>
    <w:div w:id="163401162">
      <w:bodyDiv w:val="1"/>
      <w:marLeft w:val="0"/>
      <w:marRight w:val="0"/>
      <w:marTop w:val="0"/>
      <w:marBottom w:val="0"/>
      <w:divBdr>
        <w:top w:val="none" w:sz="0" w:space="0" w:color="auto"/>
        <w:left w:val="none" w:sz="0" w:space="0" w:color="auto"/>
        <w:bottom w:val="none" w:sz="0" w:space="0" w:color="auto"/>
        <w:right w:val="none" w:sz="0" w:space="0" w:color="auto"/>
      </w:divBdr>
    </w:div>
    <w:div w:id="171654159">
      <w:bodyDiv w:val="1"/>
      <w:marLeft w:val="0"/>
      <w:marRight w:val="0"/>
      <w:marTop w:val="0"/>
      <w:marBottom w:val="0"/>
      <w:divBdr>
        <w:top w:val="none" w:sz="0" w:space="0" w:color="auto"/>
        <w:left w:val="none" w:sz="0" w:space="0" w:color="auto"/>
        <w:bottom w:val="none" w:sz="0" w:space="0" w:color="auto"/>
        <w:right w:val="none" w:sz="0" w:space="0" w:color="auto"/>
      </w:divBdr>
      <w:divsChild>
        <w:div w:id="370425837">
          <w:marLeft w:val="0"/>
          <w:marRight w:val="0"/>
          <w:marTop w:val="0"/>
          <w:marBottom w:val="0"/>
          <w:divBdr>
            <w:top w:val="none" w:sz="0" w:space="0" w:color="auto"/>
            <w:left w:val="none" w:sz="0" w:space="0" w:color="auto"/>
            <w:bottom w:val="none" w:sz="0" w:space="0" w:color="auto"/>
            <w:right w:val="none" w:sz="0" w:space="0" w:color="auto"/>
          </w:divBdr>
          <w:divsChild>
            <w:div w:id="265887356">
              <w:marLeft w:val="0"/>
              <w:marRight w:val="0"/>
              <w:marTop w:val="0"/>
              <w:marBottom w:val="0"/>
              <w:divBdr>
                <w:top w:val="none" w:sz="0" w:space="0" w:color="auto"/>
                <w:left w:val="none" w:sz="0" w:space="0" w:color="auto"/>
                <w:bottom w:val="none" w:sz="0" w:space="0" w:color="auto"/>
                <w:right w:val="none" w:sz="0" w:space="0" w:color="auto"/>
              </w:divBdr>
              <w:divsChild>
                <w:div w:id="8215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1412">
      <w:bodyDiv w:val="1"/>
      <w:marLeft w:val="0"/>
      <w:marRight w:val="0"/>
      <w:marTop w:val="0"/>
      <w:marBottom w:val="0"/>
      <w:divBdr>
        <w:top w:val="none" w:sz="0" w:space="0" w:color="auto"/>
        <w:left w:val="none" w:sz="0" w:space="0" w:color="auto"/>
        <w:bottom w:val="none" w:sz="0" w:space="0" w:color="auto"/>
        <w:right w:val="none" w:sz="0" w:space="0" w:color="auto"/>
      </w:divBdr>
    </w:div>
    <w:div w:id="207031297">
      <w:bodyDiv w:val="1"/>
      <w:marLeft w:val="0"/>
      <w:marRight w:val="0"/>
      <w:marTop w:val="0"/>
      <w:marBottom w:val="0"/>
      <w:divBdr>
        <w:top w:val="none" w:sz="0" w:space="0" w:color="auto"/>
        <w:left w:val="none" w:sz="0" w:space="0" w:color="auto"/>
        <w:bottom w:val="none" w:sz="0" w:space="0" w:color="auto"/>
        <w:right w:val="none" w:sz="0" w:space="0" w:color="auto"/>
      </w:divBdr>
    </w:div>
    <w:div w:id="207033250">
      <w:bodyDiv w:val="1"/>
      <w:marLeft w:val="0"/>
      <w:marRight w:val="0"/>
      <w:marTop w:val="0"/>
      <w:marBottom w:val="0"/>
      <w:divBdr>
        <w:top w:val="none" w:sz="0" w:space="0" w:color="auto"/>
        <w:left w:val="none" w:sz="0" w:space="0" w:color="auto"/>
        <w:bottom w:val="none" w:sz="0" w:space="0" w:color="auto"/>
        <w:right w:val="none" w:sz="0" w:space="0" w:color="auto"/>
      </w:divBdr>
    </w:div>
    <w:div w:id="237984185">
      <w:bodyDiv w:val="1"/>
      <w:marLeft w:val="0"/>
      <w:marRight w:val="0"/>
      <w:marTop w:val="0"/>
      <w:marBottom w:val="0"/>
      <w:divBdr>
        <w:top w:val="none" w:sz="0" w:space="0" w:color="auto"/>
        <w:left w:val="none" w:sz="0" w:space="0" w:color="auto"/>
        <w:bottom w:val="none" w:sz="0" w:space="0" w:color="auto"/>
        <w:right w:val="none" w:sz="0" w:space="0" w:color="auto"/>
      </w:divBdr>
      <w:divsChild>
        <w:div w:id="828445140">
          <w:marLeft w:val="0"/>
          <w:marRight w:val="0"/>
          <w:marTop w:val="0"/>
          <w:marBottom w:val="0"/>
          <w:divBdr>
            <w:top w:val="none" w:sz="0" w:space="0" w:color="auto"/>
            <w:left w:val="none" w:sz="0" w:space="0" w:color="auto"/>
            <w:bottom w:val="none" w:sz="0" w:space="0" w:color="auto"/>
            <w:right w:val="none" w:sz="0" w:space="0" w:color="auto"/>
          </w:divBdr>
          <w:divsChild>
            <w:div w:id="3811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64576">
      <w:bodyDiv w:val="1"/>
      <w:marLeft w:val="0"/>
      <w:marRight w:val="0"/>
      <w:marTop w:val="0"/>
      <w:marBottom w:val="0"/>
      <w:divBdr>
        <w:top w:val="none" w:sz="0" w:space="0" w:color="auto"/>
        <w:left w:val="none" w:sz="0" w:space="0" w:color="auto"/>
        <w:bottom w:val="none" w:sz="0" w:space="0" w:color="auto"/>
        <w:right w:val="none" w:sz="0" w:space="0" w:color="auto"/>
      </w:divBdr>
      <w:divsChild>
        <w:div w:id="819536478">
          <w:marLeft w:val="0"/>
          <w:marRight w:val="0"/>
          <w:marTop w:val="0"/>
          <w:marBottom w:val="0"/>
          <w:divBdr>
            <w:top w:val="none" w:sz="0" w:space="0" w:color="auto"/>
            <w:left w:val="none" w:sz="0" w:space="0" w:color="auto"/>
            <w:bottom w:val="none" w:sz="0" w:space="0" w:color="auto"/>
            <w:right w:val="none" w:sz="0" w:space="0" w:color="auto"/>
          </w:divBdr>
          <w:divsChild>
            <w:div w:id="497773747">
              <w:marLeft w:val="0"/>
              <w:marRight w:val="0"/>
              <w:marTop w:val="0"/>
              <w:marBottom w:val="0"/>
              <w:divBdr>
                <w:top w:val="none" w:sz="0" w:space="0" w:color="auto"/>
                <w:left w:val="none" w:sz="0" w:space="0" w:color="auto"/>
                <w:bottom w:val="none" w:sz="0" w:space="0" w:color="auto"/>
                <w:right w:val="none" w:sz="0" w:space="0" w:color="auto"/>
              </w:divBdr>
              <w:divsChild>
                <w:div w:id="13871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89997">
      <w:bodyDiv w:val="1"/>
      <w:marLeft w:val="0"/>
      <w:marRight w:val="0"/>
      <w:marTop w:val="0"/>
      <w:marBottom w:val="0"/>
      <w:divBdr>
        <w:top w:val="none" w:sz="0" w:space="0" w:color="auto"/>
        <w:left w:val="none" w:sz="0" w:space="0" w:color="auto"/>
        <w:bottom w:val="none" w:sz="0" w:space="0" w:color="auto"/>
        <w:right w:val="none" w:sz="0" w:space="0" w:color="auto"/>
      </w:divBdr>
    </w:div>
    <w:div w:id="300622863">
      <w:bodyDiv w:val="1"/>
      <w:marLeft w:val="0"/>
      <w:marRight w:val="0"/>
      <w:marTop w:val="0"/>
      <w:marBottom w:val="0"/>
      <w:divBdr>
        <w:top w:val="none" w:sz="0" w:space="0" w:color="auto"/>
        <w:left w:val="none" w:sz="0" w:space="0" w:color="auto"/>
        <w:bottom w:val="none" w:sz="0" w:space="0" w:color="auto"/>
        <w:right w:val="none" w:sz="0" w:space="0" w:color="auto"/>
      </w:divBdr>
    </w:div>
    <w:div w:id="302514916">
      <w:bodyDiv w:val="1"/>
      <w:marLeft w:val="0"/>
      <w:marRight w:val="0"/>
      <w:marTop w:val="0"/>
      <w:marBottom w:val="0"/>
      <w:divBdr>
        <w:top w:val="none" w:sz="0" w:space="0" w:color="auto"/>
        <w:left w:val="none" w:sz="0" w:space="0" w:color="auto"/>
        <w:bottom w:val="none" w:sz="0" w:space="0" w:color="auto"/>
        <w:right w:val="none" w:sz="0" w:space="0" w:color="auto"/>
      </w:divBdr>
    </w:div>
    <w:div w:id="314771593">
      <w:bodyDiv w:val="1"/>
      <w:marLeft w:val="0"/>
      <w:marRight w:val="0"/>
      <w:marTop w:val="0"/>
      <w:marBottom w:val="0"/>
      <w:divBdr>
        <w:top w:val="none" w:sz="0" w:space="0" w:color="auto"/>
        <w:left w:val="none" w:sz="0" w:space="0" w:color="auto"/>
        <w:bottom w:val="none" w:sz="0" w:space="0" w:color="auto"/>
        <w:right w:val="none" w:sz="0" w:space="0" w:color="auto"/>
      </w:divBdr>
      <w:divsChild>
        <w:div w:id="451555602">
          <w:marLeft w:val="0"/>
          <w:marRight w:val="0"/>
          <w:marTop w:val="0"/>
          <w:marBottom w:val="0"/>
          <w:divBdr>
            <w:top w:val="none" w:sz="0" w:space="0" w:color="auto"/>
            <w:left w:val="none" w:sz="0" w:space="0" w:color="auto"/>
            <w:bottom w:val="none" w:sz="0" w:space="0" w:color="auto"/>
            <w:right w:val="none" w:sz="0" w:space="0" w:color="auto"/>
          </w:divBdr>
        </w:div>
        <w:div w:id="208078434">
          <w:marLeft w:val="0"/>
          <w:marRight w:val="0"/>
          <w:marTop w:val="0"/>
          <w:marBottom w:val="0"/>
          <w:divBdr>
            <w:top w:val="none" w:sz="0" w:space="0" w:color="auto"/>
            <w:left w:val="none" w:sz="0" w:space="0" w:color="auto"/>
            <w:bottom w:val="none" w:sz="0" w:space="0" w:color="auto"/>
            <w:right w:val="none" w:sz="0" w:space="0" w:color="auto"/>
          </w:divBdr>
        </w:div>
        <w:div w:id="1777677836">
          <w:marLeft w:val="0"/>
          <w:marRight w:val="0"/>
          <w:marTop w:val="0"/>
          <w:marBottom w:val="0"/>
          <w:divBdr>
            <w:top w:val="none" w:sz="0" w:space="0" w:color="auto"/>
            <w:left w:val="none" w:sz="0" w:space="0" w:color="auto"/>
            <w:bottom w:val="none" w:sz="0" w:space="0" w:color="auto"/>
            <w:right w:val="none" w:sz="0" w:space="0" w:color="auto"/>
          </w:divBdr>
        </w:div>
      </w:divsChild>
    </w:div>
    <w:div w:id="365521451">
      <w:bodyDiv w:val="1"/>
      <w:marLeft w:val="0"/>
      <w:marRight w:val="0"/>
      <w:marTop w:val="0"/>
      <w:marBottom w:val="0"/>
      <w:divBdr>
        <w:top w:val="none" w:sz="0" w:space="0" w:color="auto"/>
        <w:left w:val="none" w:sz="0" w:space="0" w:color="auto"/>
        <w:bottom w:val="none" w:sz="0" w:space="0" w:color="auto"/>
        <w:right w:val="none" w:sz="0" w:space="0" w:color="auto"/>
      </w:divBdr>
    </w:div>
    <w:div w:id="378281550">
      <w:bodyDiv w:val="1"/>
      <w:marLeft w:val="0"/>
      <w:marRight w:val="0"/>
      <w:marTop w:val="0"/>
      <w:marBottom w:val="0"/>
      <w:divBdr>
        <w:top w:val="none" w:sz="0" w:space="0" w:color="auto"/>
        <w:left w:val="none" w:sz="0" w:space="0" w:color="auto"/>
        <w:bottom w:val="none" w:sz="0" w:space="0" w:color="auto"/>
        <w:right w:val="none" w:sz="0" w:space="0" w:color="auto"/>
      </w:divBdr>
    </w:div>
    <w:div w:id="383606742">
      <w:bodyDiv w:val="1"/>
      <w:marLeft w:val="0"/>
      <w:marRight w:val="0"/>
      <w:marTop w:val="0"/>
      <w:marBottom w:val="0"/>
      <w:divBdr>
        <w:top w:val="none" w:sz="0" w:space="0" w:color="auto"/>
        <w:left w:val="none" w:sz="0" w:space="0" w:color="auto"/>
        <w:bottom w:val="none" w:sz="0" w:space="0" w:color="auto"/>
        <w:right w:val="none" w:sz="0" w:space="0" w:color="auto"/>
      </w:divBdr>
    </w:div>
    <w:div w:id="384790790">
      <w:bodyDiv w:val="1"/>
      <w:marLeft w:val="0"/>
      <w:marRight w:val="0"/>
      <w:marTop w:val="0"/>
      <w:marBottom w:val="0"/>
      <w:divBdr>
        <w:top w:val="none" w:sz="0" w:space="0" w:color="auto"/>
        <w:left w:val="none" w:sz="0" w:space="0" w:color="auto"/>
        <w:bottom w:val="none" w:sz="0" w:space="0" w:color="auto"/>
        <w:right w:val="none" w:sz="0" w:space="0" w:color="auto"/>
      </w:divBdr>
      <w:divsChild>
        <w:div w:id="591813215">
          <w:marLeft w:val="0"/>
          <w:marRight w:val="0"/>
          <w:marTop w:val="0"/>
          <w:marBottom w:val="0"/>
          <w:divBdr>
            <w:top w:val="none" w:sz="0" w:space="0" w:color="auto"/>
            <w:left w:val="none" w:sz="0" w:space="0" w:color="auto"/>
            <w:bottom w:val="none" w:sz="0" w:space="0" w:color="auto"/>
            <w:right w:val="none" w:sz="0" w:space="0" w:color="auto"/>
          </w:divBdr>
          <w:divsChild>
            <w:div w:id="519441296">
              <w:marLeft w:val="0"/>
              <w:marRight w:val="0"/>
              <w:marTop w:val="0"/>
              <w:marBottom w:val="0"/>
              <w:divBdr>
                <w:top w:val="none" w:sz="0" w:space="0" w:color="auto"/>
                <w:left w:val="none" w:sz="0" w:space="0" w:color="auto"/>
                <w:bottom w:val="none" w:sz="0" w:space="0" w:color="auto"/>
                <w:right w:val="none" w:sz="0" w:space="0" w:color="auto"/>
              </w:divBdr>
              <w:divsChild>
                <w:div w:id="587467904">
                  <w:marLeft w:val="0"/>
                  <w:marRight w:val="0"/>
                  <w:marTop w:val="0"/>
                  <w:marBottom w:val="0"/>
                  <w:divBdr>
                    <w:top w:val="none" w:sz="0" w:space="0" w:color="auto"/>
                    <w:left w:val="none" w:sz="0" w:space="0" w:color="auto"/>
                    <w:bottom w:val="none" w:sz="0" w:space="0" w:color="auto"/>
                    <w:right w:val="none" w:sz="0" w:space="0" w:color="auto"/>
                  </w:divBdr>
                  <w:divsChild>
                    <w:div w:id="10833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25134">
      <w:bodyDiv w:val="1"/>
      <w:marLeft w:val="0"/>
      <w:marRight w:val="0"/>
      <w:marTop w:val="0"/>
      <w:marBottom w:val="0"/>
      <w:divBdr>
        <w:top w:val="none" w:sz="0" w:space="0" w:color="auto"/>
        <w:left w:val="none" w:sz="0" w:space="0" w:color="auto"/>
        <w:bottom w:val="none" w:sz="0" w:space="0" w:color="auto"/>
        <w:right w:val="none" w:sz="0" w:space="0" w:color="auto"/>
      </w:divBdr>
    </w:div>
    <w:div w:id="468784049">
      <w:bodyDiv w:val="1"/>
      <w:marLeft w:val="0"/>
      <w:marRight w:val="0"/>
      <w:marTop w:val="0"/>
      <w:marBottom w:val="0"/>
      <w:divBdr>
        <w:top w:val="none" w:sz="0" w:space="0" w:color="auto"/>
        <w:left w:val="none" w:sz="0" w:space="0" w:color="auto"/>
        <w:bottom w:val="none" w:sz="0" w:space="0" w:color="auto"/>
        <w:right w:val="none" w:sz="0" w:space="0" w:color="auto"/>
      </w:divBdr>
      <w:divsChild>
        <w:div w:id="1133208113">
          <w:marLeft w:val="0"/>
          <w:marRight w:val="0"/>
          <w:marTop w:val="0"/>
          <w:marBottom w:val="0"/>
          <w:divBdr>
            <w:top w:val="none" w:sz="0" w:space="0" w:color="auto"/>
            <w:left w:val="none" w:sz="0" w:space="0" w:color="auto"/>
            <w:bottom w:val="none" w:sz="0" w:space="0" w:color="auto"/>
            <w:right w:val="none" w:sz="0" w:space="0" w:color="auto"/>
          </w:divBdr>
          <w:divsChild>
            <w:div w:id="413866421">
              <w:marLeft w:val="0"/>
              <w:marRight w:val="0"/>
              <w:marTop w:val="0"/>
              <w:marBottom w:val="0"/>
              <w:divBdr>
                <w:top w:val="none" w:sz="0" w:space="0" w:color="auto"/>
                <w:left w:val="none" w:sz="0" w:space="0" w:color="auto"/>
                <w:bottom w:val="none" w:sz="0" w:space="0" w:color="auto"/>
                <w:right w:val="none" w:sz="0" w:space="0" w:color="auto"/>
              </w:divBdr>
              <w:divsChild>
                <w:div w:id="12866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9908">
      <w:bodyDiv w:val="1"/>
      <w:marLeft w:val="0"/>
      <w:marRight w:val="0"/>
      <w:marTop w:val="0"/>
      <w:marBottom w:val="0"/>
      <w:divBdr>
        <w:top w:val="none" w:sz="0" w:space="0" w:color="auto"/>
        <w:left w:val="none" w:sz="0" w:space="0" w:color="auto"/>
        <w:bottom w:val="none" w:sz="0" w:space="0" w:color="auto"/>
        <w:right w:val="none" w:sz="0" w:space="0" w:color="auto"/>
      </w:divBdr>
    </w:div>
    <w:div w:id="493110349">
      <w:bodyDiv w:val="1"/>
      <w:marLeft w:val="0"/>
      <w:marRight w:val="0"/>
      <w:marTop w:val="0"/>
      <w:marBottom w:val="0"/>
      <w:divBdr>
        <w:top w:val="none" w:sz="0" w:space="0" w:color="auto"/>
        <w:left w:val="none" w:sz="0" w:space="0" w:color="auto"/>
        <w:bottom w:val="none" w:sz="0" w:space="0" w:color="auto"/>
        <w:right w:val="none" w:sz="0" w:space="0" w:color="auto"/>
      </w:divBdr>
    </w:div>
    <w:div w:id="498078144">
      <w:bodyDiv w:val="1"/>
      <w:marLeft w:val="0"/>
      <w:marRight w:val="0"/>
      <w:marTop w:val="0"/>
      <w:marBottom w:val="0"/>
      <w:divBdr>
        <w:top w:val="none" w:sz="0" w:space="0" w:color="auto"/>
        <w:left w:val="none" w:sz="0" w:space="0" w:color="auto"/>
        <w:bottom w:val="none" w:sz="0" w:space="0" w:color="auto"/>
        <w:right w:val="none" w:sz="0" w:space="0" w:color="auto"/>
      </w:divBdr>
      <w:divsChild>
        <w:div w:id="1199976172">
          <w:marLeft w:val="0"/>
          <w:marRight w:val="0"/>
          <w:marTop w:val="0"/>
          <w:marBottom w:val="0"/>
          <w:divBdr>
            <w:top w:val="none" w:sz="0" w:space="0" w:color="auto"/>
            <w:left w:val="none" w:sz="0" w:space="0" w:color="auto"/>
            <w:bottom w:val="none" w:sz="0" w:space="0" w:color="auto"/>
            <w:right w:val="none" w:sz="0" w:space="0" w:color="auto"/>
          </w:divBdr>
          <w:divsChild>
            <w:div w:id="1175682419">
              <w:marLeft w:val="0"/>
              <w:marRight w:val="0"/>
              <w:marTop w:val="0"/>
              <w:marBottom w:val="0"/>
              <w:divBdr>
                <w:top w:val="none" w:sz="0" w:space="0" w:color="auto"/>
                <w:left w:val="none" w:sz="0" w:space="0" w:color="auto"/>
                <w:bottom w:val="none" w:sz="0" w:space="0" w:color="auto"/>
                <w:right w:val="none" w:sz="0" w:space="0" w:color="auto"/>
              </w:divBdr>
              <w:divsChild>
                <w:div w:id="4486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6605">
      <w:bodyDiv w:val="1"/>
      <w:marLeft w:val="0"/>
      <w:marRight w:val="0"/>
      <w:marTop w:val="0"/>
      <w:marBottom w:val="0"/>
      <w:divBdr>
        <w:top w:val="none" w:sz="0" w:space="0" w:color="auto"/>
        <w:left w:val="none" w:sz="0" w:space="0" w:color="auto"/>
        <w:bottom w:val="none" w:sz="0" w:space="0" w:color="auto"/>
        <w:right w:val="none" w:sz="0" w:space="0" w:color="auto"/>
      </w:divBdr>
      <w:divsChild>
        <w:div w:id="895778030">
          <w:marLeft w:val="0"/>
          <w:marRight w:val="0"/>
          <w:marTop w:val="0"/>
          <w:marBottom w:val="0"/>
          <w:divBdr>
            <w:top w:val="none" w:sz="0" w:space="0" w:color="auto"/>
            <w:left w:val="none" w:sz="0" w:space="0" w:color="auto"/>
            <w:bottom w:val="none" w:sz="0" w:space="0" w:color="auto"/>
            <w:right w:val="none" w:sz="0" w:space="0" w:color="auto"/>
          </w:divBdr>
        </w:div>
        <w:div w:id="1470779231">
          <w:marLeft w:val="0"/>
          <w:marRight w:val="0"/>
          <w:marTop w:val="0"/>
          <w:marBottom w:val="0"/>
          <w:divBdr>
            <w:top w:val="none" w:sz="0" w:space="0" w:color="auto"/>
            <w:left w:val="none" w:sz="0" w:space="0" w:color="auto"/>
            <w:bottom w:val="none" w:sz="0" w:space="0" w:color="auto"/>
            <w:right w:val="none" w:sz="0" w:space="0" w:color="auto"/>
          </w:divBdr>
        </w:div>
      </w:divsChild>
    </w:div>
    <w:div w:id="500589571">
      <w:bodyDiv w:val="1"/>
      <w:marLeft w:val="0"/>
      <w:marRight w:val="0"/>
      <w:marTop w:val="0"/>
      <w:marBottom w:val="0"/>
      <w:divBdr>
        <w:top w:val="none" w:sz="0" w:space="0" w:color="auto"/>
        <w:left w:val="none" w:sz="0" w:space="0" w:color="auto"/>
        <w:bottom w:val="none" w:sz="0" w:space="0" w:color="auto"/>
        <w:right w:val="none" w:sz="0" w:space="0" w:color="auto"/>
      </w:divBdr>
    </w:div>
    <w:div w:id="512300989">
      <w:bodyDiv w:val="1"/>
      <w:marLeft w:val="0"/>
      <w:marRight w:val="0"/>
      <w:marTop w:val="0"/>
      <w:marBottom w:val="0"/>
      <w:divBdr>
        <w:top w:val="none" w:sz="0" w:space="0" w:color="auto"/>
        <w:left w:val="none" w:sz="0" w:space="0" w:color="auto"/>
        <w:bottom w:val="none" w:sz="0" w:space="0" w:color="auto"/>
        <w:right w:val="none" w:sz="0" w:space="0" w:color="auto"/>
      </w:divBdr>
      <w:divsChild>
        <w:div w:id="466318161">
          <w:marLeft w:val="0"/>
          <w:marRight w:val="0"/>
          <w:marTop w:val="0"/>
          <w:marBottom w:val="0"/>
          <w:divBdr>
            <w:top w:val="none" w:sz="0" w:space="0" w:color="auto"/>
            <w:left w:val="none" w:sz="0" w:space="0" w:color="auto"/>
            <w:bottom w:val="none" w:sz="0" w:space="0" w:color="auto"/>
            <w:right w:val="none" w:sz="0" w:space="0" w:color="auto"/>
          </w:divBdr>
          <w:divsChild>
            <w:div w:id="445395115">
              <w:marLeft w:val="0"/>
              <w:marRight w:val="0"/>
              <w:marTop w:val="0"/>
              <w:marBottom w:val="0"/>
              <w:divBdr>
                <w:top w:val="none" w:sz="0" w:space="0" w:color="auto"/>
                <w:left w:val="none" w:sz="0" w:space="0" w:color="auto"/>
                <w:bottom w:val="none" w:sz="0" w:space="0" w:color="auto"/>
                <w:right w:val="none" w:sz="0" w:space="0" w:color="auto"/>
              </w:divBdr>
              <w:divsChild>
                <w:div w:id="598221480">
                  <w:marLeft w:val="0"/>
                  <w:marRight w:val="0"/>
                  <w:marTop w:val="0"/>
                  <w:marBottom w:val="0"/>
                  <w:divBdr>
                    <w:top w:val="none" w:sz="0" w:space="0" w:color="auto"/>
                    <w:left w:val="none" w:sz="0" w:space="0" w:color="auto"/>
                    <w:bottom w:val="none" w:sz="0" w:space="0" w:color="auto"/>
                    <w:right w:val="none" w:sz="0" w:space="0" w:color="auto"/>
                  </w:divBdr>
                  <w:divsChild>
                    <w:div w:id="538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4459">
      <w:bodyDiv w:val="1"/>
      <w:marLeft w:val="0"/>
      <w:marRight w:val="0"/>
      <w:marTop w:val="0"/>
      <w:marBottom w:val="0"/>
      <w:divBdr>
        <w:top w:val="none" w:sz="0" w:space="0" w:color="auto"/>
        <w:left w:val="none" w:sz="0" w:space="0" w:color="auto"/>
        <w:bottom w:val="none" w:sz="0" w:space="0" w:color="auto"/>
        <w:right w:val="none" w:sz="0" w:space="0" w:color="auto"/>
      </w:divBdr>
    </w:div>
    <w:div w:id="602955859">
      <w:bodyDiv w:val="1"/>
      <w:marLeft w:val="0"/>
      <w:marRight w:val="0"/>
      <w:marTop w:val="0"/>
      <w:marBottom w:val="0"/>
      <w:divBdr>
        <w:top w:val="none" w:sz="0" w:space="0" w:color="auto"/>
        <w:left w:val="none" w:sz="0" w:space="0" w:color="auto"/>
        <w:bottom w:val="none" w:sz="0" w:space="0" w:color="auto"/>
        <w:right w:val="none" w:sz="0" w:space="0" w:color="auto"/>
      </w:divBdr>
      <w:divsChild>
        <w:div w:id="1297251324">
          <w:marLeft w:val="0"/>
          <w:marRight w:val="0"/>
          <w:marTop w:val="0"/>
          <w:marBottom w:val="0"/>
          <w:divBdr>
            <w:top w:val="none" w:sz="0" w:space="0" w:color="auto"/>
            <w:left w:val="none" w:sz="0" w:space="0" w:color="auto"/>
            <w:bottom w:val="none" w:sz="0" w:space="0" w:color="auto"/>
            <w:right w:val="none" w:sz="0" w:space="0" w:color="auto"/>
          </w:divBdr>
          <w:divsChild>
            <w:div w:id="1331256395">
              <w:marLeft w:val="0"/>
              <w:marRight w:val="0"/>
              <w:marTop w:val="0"/>
              <w:marBottom w:val="0"/>
              <w:divBdr>
                <w:top w:val="none" w:sz="0" w:space="0" w:color="auto"/>
                <w:left w:val="none" w:sz="0" w:space="0" w:color="auto"/>
                <w:bottom w:val="none" w:sz="0" w:space="0" w:color="auto"/>
                <w:right w:val="none" w:sz="0" w:space="0" w:color="auto"/>
              </w:divBdr>
              <w:divsChild>
                <w:div w:id="764037684">
                  <w:marLeft w:val="0"/>
                  <w:marRight w:val="0"/>
                  <w:marTop w:val="0"/>
                  <w:marBottom w:val="0"/>
                  <w:divBdr>
                    <w:top w:val="none" w:sz="0" w:space="0" w:color="auto"/>
                    <w:left w:val="none" w:sz="0" w:space="0" w:color="auto"/>
                    <w:bottom w:val="none" w:sz="0" w:space="0" w:color="auto"/>
                    <w:right w:val="none" w:sz="0" w:space="0" w:color="auto"/>
                  </w:divBdr>
                  <w:divsChild>
                    <w:div w:id="13805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4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1510">
          <w:marLeft w:val="0"/>
          <w:marRight w:val="0"/>
          <w:marTop w:val="0"/>
          <w:marBottom w:val="0"/>
          <w:divBdr>
            <w:top w:val="none" w:sz="0" w:space="0" w:color="auto"/>
            <w:left w:val="none" w:sz="0" w:space="0" w:color="auto"/>
            <w:bottom w:val="none" w:sz="0" w:space="0" w:color="auto"/>
            <w:right w:val="none" w:sz="0" w:space="0" w:color="auto"/>
          </w:divBdr>
          <w:divsChild>
            <w:div w:id="1466049167">
              <w:marLeft w:val="0"/>
              <w:marRight w:val="0"/>
              <w:marTop w:val="0"/>
              <w:marBottom w:val="0"/>
              <w:divBdr>
                <w:top w:val="none" w:sz="0" w:space="0" w:color="auto"/>
                <w:left w:val="none" w:sz="0" w:space="0" w:color="auto"/>
                <w:bottom w:val="none" w:sz="0" w:space="0" w:color="auto"/>
                <w:right w:val="none" w:sz="0" w:space="0" w:color="auto"/>
              </w:divBdr>
              <w:divsChild>
                <w:div w:id="6226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37">
      <w:bodyDiv w:val="1"/>
      <w:marLeft w:val="0"/>
      <w:marRight w:val="0"/>
      <w:marTop w:val="0"/>
      <w:marBottom w:val="0"/>
      <w:divBdr>
        <w:top w:val="none" w:sz="0" w:space="0" w:color="auto"/>
        <w:left w:val="none" w:sz="0" w:space="0" w:color="auto"/>
        <w:bottom w:val="none" w:sz="0" w:space="0" w:color="auto"/>
        <w:right w:val="none" w:sz="0" w:space="0" w:color="auto"/>
      </w:divBdr>
    </w:div>
    <w:div w:id="628122974">
      <w:bodyDiv w:val="1"/>
      <w:marLeft w:val="0"/>
      <w:marRight w:val="0"/>
      <w:marTop w:val="0"/>
      <w:marBottom w:val="0"/>
      <w:divBdr>
        <w:top w:val="none" w:sz="0" w:space="0" w:color="auto"/>
        <w:left w:val="none" w:sz="0" w:space="0" w:color="auto"/>
        <w:bottom w:val="none" w:sz="0" w:space="0" w:color="auto"/>
        <w:right w:val="none" w:sz="0" w:space="0" w:color="auto"/>
      </w:divBdr>
      <w:divsChild>
        <w:div w:id="1632662437">
          <w:marLeft w:val="0"/>
          <w:marRight w:val="0"/>
          <w:marTop w:val="0"/>
          <w:marBottom w:val="0"/>
          <w:divBdr>
            <w:top w:val="none" w:sz="0" w:space="0" w:color="auto"/>
            <w:left w:val="none" w:sz="0" w:space="0" w:color="auto"/>
            <w:bottom w:val="none" w:sz="0" w:space="0" w:color="auto"/>
            <w:right w:val="none" w:sz="0" w:space="0" w:color="auto"/>
          </w:divBdr>
          <w:divsChild>
            <w:div w:id="587084936">
              <w:marLeft w:val="0"/>
              <w:marRight w:val="0"/>
              <w:marTop w:val="0"/>
              <w:marBottom w:val="0"/>
              <w:divBdr>
                <w:top w:val="none" w:sz="0" w:space="0" w:color="auto"/>
                <w:left w:val="none" w:sz="0" w:space="0" w:color="auto"/>
                <w:bottom w:val="none" w:sz="0" w:space="0" w:color="auto"/>
                <w:right w:val="none" w:sz="0" w:space="0" w:color="auto"/>
              </w:divBdr>
              <w:divsChild>
                <w:div w:id="1368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9752">
      <w:bodyDiv w:val="1"/>
      <w:marLeft w:val="0"/>
      <w:marRight w:val="0"/>
      <w:marTop w:val="0"/>
      <w:marBottom w:val="0"/>
      <w:divBdr>
        <w:top w:val="none" w:sz="0" w:space="0" w:color="auto"/>
        <w:left w:val="none" w:sz="0" w:space="0" w:color="auto"/>
        <w:bottom w:val="none" w:sz="0" w:space="0" w:color="auto"/>
        <w:right w:val="none" w:sz="0" w:space="0" w:color="auto"/>
      </w:divBdr>
    </w:div>
    <w:div w:id="640889399">
      <w:bodyDiv w:val="1"/>
      <w:marLeft w:val="0"/>
      <w:marRight w:val="0"/>
      <w:marTop w:val="0"/>
      <w:marBottom w:val="0"/>
      <w:divBdr>
        <w:top w:val="none" w:sz="0" w:space="0" w:color="auto"/>
        <w:left w:val="none" w:sz="0" w:space="0" w:color="auto"/>
        <w:bottom w:val="none" w:sz="0" w:space="0" w:color="auto"/>
        <w:right w:val="none" w:sz="0" w:space="0" w:color="auto"/>
      </w:divBdr>
    </w:div>
    <w:div w:id="667514420">
      <w:bodyDiv w:val="1"/>
      <w:marLeft w:val="0"/>
      <w:marRight w:val="0"/>
      <w:marTop w:val="0"/>
      <w:marBottom w:val="0"/>
      <w:divBdr>
        <w:top w:val="none" w:sz="0" w:space="0" w:color="auto"/>
        <w:left w:val="none" w:sz="0" w:space="0" w:color="auto"/>
        <w:bottom w:val="none" w:sz="0" w:space="0" w:color="auto"/>
        <w:right w:val="none" w:sz="0" w:space="0" w:color="auto"/>
      </w:divBdr>
    </w:div>
    <w:div w:id="700858472">
      <w:bodyDiv w:val="1"/>
      <w:marLeft w:val="0"/>
      <w:marRight w:val="0"/>
      <w:marTop w:val="0"/>
      <w:marBottom w:val="0"/>
      <w:divBdr>
        <w:top w:val="none" w:sz="0" w:space="0" w:color="auto"/>
        <w:left w:val="none" w:sz="0" w:space="0" w:color="auto"/>
        <w:bottom w:val="none" w:sz="0" w:space="0" w:color="auto"/>
        <w:right w:val="none" w:sz="0" w:space="0" w:color="auto"/>
      </w:divBdr>
      <w:divsChild>
        <w:div w:id="532235670">
          <w:marLeft w:val="0"/>
          <w:marRight w:val="0"/>
          <w:marTop w:val="0"/>
          <w:marBottom w:val="0"/>
          <w:divBdr>
            <w:top w:val="none" w:sz="0" w:space="0" w:color="auto"/>
            <w:left w:val="none" w:sz="0" w:space="0" w:color="auto"/>
            <w:bottom w:val="none" w:sz="0" w:space="0" w:color="auto"/>
            <w:right w:val="none" w:sz="0" w:space="0" w:color="auto"/>
          </w:divBdr>
        </w:div>
        <w:div w:id="686096592">
          <w:marLeft w:val="0"/>
          <w:marRight w:val="0"/>
          <w:marTop w:val="0"/>
          <w:marBottom w:val="0"/>
          <w:divBdr>
            <w:top w:val="none" w:sz="0" w:space="0" w:color="auto"/>
            <w:left w:val="none" w:sz="0" w:space="0" w:color="auto"/>
            <w:bottom w:val="none" w:sz="0" w:space="0" w:color="auto"/>
            <w:right w:val="none" w:sz="0" w:space="0" w:color="auto"/>
          </w:divBdr>
        </w:div>
      </w:divsChild>
    </w:div>
    <w:div w:id="750472198">
      <w:bodyDiv w:val="1"/>
      <w:marLeft w:val="0"/>
      <w:marRight w:val="0"/>
      <w:marTop w:val="0"/>
      <w:marBottom w:val="0"/>
      <w:divBdr>
        <w:top w:val="none" w:sz="0" w:space="0" w:color="auto"/>
        <w:left w:val="none" w:sz="0" w:space="0" w:color="auto"/>
        <w:bottom w:val="none" w:sz="0" w:space="0" w:color="auto"/>
        <w:right w:val="none" w:sz="0" w:space="0" w:color="auto"/>
      </w:divBdr>
    </w:div>
    <w:div w:id="765421812">
      <w:bodyDiv w:val="1"/>
      <w:marLeft w:val="0"/>
      <w:marRight w:val="0"/>
      <w:marTop w:val="0"/>
      <w:marBottom w:val="0"/>
      <w:divBdr>
        <w:top w:val="none" w:sz="0" w:space="0" w:color="auto"/>
        <w:left w:val="none" w:sz="0" w:space="0" w:color="auto"/>
        <w:bottom w:val="none" w:sz="0" w:space="0" w:color="auto"/>
        <w:right w:val="none" w:sz="0" w:space="0" w:color="auto"/>
      </w:divBdr>
    </w:div>
    <w:div w:id="830103942">
      <w:bodyDiv w:val="1"/>
      <w:marLeft w:val="0"/>
      <w:marRight w:val="0"/>
      <w:marTop w:val="0"/>
      <w:marBottom w:val="0"/>
      <w:divBdr>
        <w:top w:val="none" w:sz="0" w:space="0" w:color="auto"/>
        <w:left w:val="none" w:sz="0" w:space="0" w:color="auto"/>
        <w:bottom w:val="none" w:sz="0" w:space="0" w:color="auto"/>
        <w:right w:val="none" w:sz="0" w:space="0" w:color="auto"/>
      </w:divBdr>
    </w:div>
    <w:div w:id="839732621">
      <w:bodyDiv w:val="1"/>
      <w:marLeft w:val="0"/>
      <w:marRight w:val="0"/>
      <w:marTop w:val="0"/>
      <w:marBottom w:val="0"/>
      <w:divBdr>
        <w:top w:val="none" w:sz="0" w:space="0" w:color="auto"/>
        <w:left w:val="none" w:sz="0" w:space="0" w:color="auto"/>
        <w:bottom w:val="none" w:sz="0" w:space="0" w:color="auto"/>
        <w:right w:val="none" w:sz="0" w:space="0" w:color="auto"/>
      </w:divBdr>
      <w:divsChild>
        <w:div w:id="2054233148">
          <w:marLeft w:val="0"/>
          <w:marRight w:val="0"/>
          <w:marTop w:val="0"/>
          <w:marBottom w:val="0"/>
          <w:divBdr>
            <w:top w:val="none" w:sz="0" w:space="0" w:color="auto"/>
            <w:left w:val="none" w:sz="0" w:space="0" w:color="auto"/>
            <w:bottom w:val="none" w:sz="0" w:space="0" w:color="auto"/>
            <w:right w:val="none" w:sz="0" w:space="0" w:color="auto"/>
          </w:divBdr>
          <w:divsChild>
            <w:div w:id="1206524699">
              <w:marLeft w:val="0"/>
              <w:marRight w:val="0"/>
              <w:marTop w:val="0"/>
              <w:marBottom w:val="0"/>
              <w:divBdr>
                <w:top w:val="none" w:sz="0" w:space="0" w:color="auto"/>
                <w:left w:val="none" w:sz="0" w:space="0" w:color="auto"/>
                <w:bottom w:val="none" w:sz="0" w:space="0" w:color="auto"/>
                <w:right w:val="none" w:sz="0" w:space="0" w:color="auto"/>
              </w:divBdr>
              <w:divsChild>
                <w:div w:id="516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7832">
      <w:bodyDiv w:val="1"/>
      <w:marLeft w:val="0"/>
      <w:marRight w:val="0"/>
      <w:marTop w:val="0"/>
      <w:marBottom w:val="0"/>
      <w:divBdr>
        <w:top w:val="none" w:sz="0" w:space="0" w:color="auto"/>
        <w:left w:val="none" w:sz="0" w:space="0" w:color="auto"/>
        <w:bottom w:val="none" w:sz="0" w:space="0" w:color="auto"/>
        <w:right w:val="none" w:sz="0" w:space="0" w:color="auto"/>
      </w:divBdr>
      <w:divsChild>
        <w:div w:id="533228656">
          <w:marLeft w:val="0"/>
          <w:marRight w:val="0"/>
          <w:marTop w:val="0"/>
          <w:marBottom w:val="0"/>
          <w:divBdr>
            <w:top w:val="none" w:sz="0" w:space="0" w:color="auto"/>
            <w:left w:val="none" w:sz="0" w:space="0" w:color="auto"/>
            <w:bottom w:val="none" w:sz="0" w:space="0" w:color="auto"/>
            <w:right w:val="none" w:sz="0" w:space="0" w:color="auto"/>
          </w:divBdr>
          <w:divsChild>
            <w:div w:id="713235165">
              <w:marLeft w:val="0"/>
              <w:marRight w:val="0"/>
              <w:marTop w:val="0"/>
              <w:marBottom w:val="0"/>
              <w:divBdr>
                <w:top w:val="none" w:sz="0" w:space="0" w:color="auto"/>
                <w:left w:val="none" w:sz="0" w:space="0" w:color="auto"/>
                <w:bottom w:val="none" w:sz="0" w:space="0" w:color="auto"/>
                <w:right w:val="none" w:sz="0" w:space="0" w:color="auto"/>
              </w:divBdr>
              <w:divsChild>
                <w:div w:id="1201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7875">
      <w:bodyDiv w:val="1"/>
      <w:marLeft w:val="0"/>
      <w:marRight w:val="0"/>
      <w:marTop w:val="0"/>
      <w:marBottom w:val="0"/>
      <w:divBdr>
        <w:top w:val="none" w:sz="0" w:space="0" w:color="auto"/>
        <w:left w:val="none" w:sz="0" w:space="0" w:color="auto"/>
        <w:bottom w:val="none" w:sz="0" w:space="0" w:color="auto"/>
        <w:right w:val="none" w:sz="0" w:space="0" w:color="auto"/>
      </w:divBdr>
    </w:div>
    <w:div w:id="887767481">
      <w:bodyDiv w:val="1"/>
      <w:marLeft w:val="0"/>
      <w:marRight w:val="0"/>
      <w:marTop w:val="0"/>
      <w:marBottom w:val="0"/>
      <w:divBdr>
        <w:top w:val="none" w:sz="0" w:space="0" w:color="auto"/>
        <w:left w:val="none" w:sz="0" w:space="0" w:color="auto"/>
        <w:bottom w:val="none" w:sz="0" w:space="0" w:color="auto"/>
        <w:right w:val="none" w:sz="0" w:space="0" w:color="auto"/>
      </w:divBdr>
    </w:div>
    <w:div w:id="956834340">
      <w:bodyDiv w:val="1"/>
      <w:marLeft w:val="0"/>
      <w:marRight w:val="0"/>
      <w:marTop w:val="0"/>
      <w:marBottom w:val="0"/>
      <w:divBdr>
        <w:top w:val="none" w:sz="0" w:space="0" w:color="auto"/>
        <w:left w:val="none" w:sz="0" w:space="0" w:color="auto"/>
        <w:bottom w:val="none" w:sz="0" w:space="0" w:color="auto"/>
        <w:right w:val="none" w:sz="0" w:space="0" w:color="auto"/>
      </w:divBdr>
    </w:div>
    <w:div w:id="985088750">
      <w:bodyDiv w:val="1"/>
      <w:marLeft w:val="0"/>
      <w:marRight w:val="0"/>
      <w:marTop w:val="0"/>
      <w:marBottom w:val="0"/>
      <w:divBdr>
        <w:top w:val="none" w:sz="0" w:space="0" w:color="auto"/>
        <w:left w:val="none" w:sz="0" w:space="0" w:color="auto"/>
        <w:bottom w:val="none" w:sz="0" w:space="0" w:color="auto"/>
        <w:right w:val="none" w:sz="0" w:space="0" w:color="auto"/>
      </w:divBdr>
    </w:div>
    <w:div w:id="993992587">
      <w:bodyDiv w:val="1"/>
      <w:marLeft w:val="0"/>
      <w:marRight w:val="0"/>
      <w:marTop w:val="0"/>
      <w:marBottom w:val="0"/>
      <w:divBdr>
        <w:top w:val="none" w:sz="0" w:space="0" w:color="auto"/>
        <w:left w:val="none" w:sz="0" w:space="0" w:color="auto"/>
        <w:bottom w:val="none" w:sz="0" w:space="0" w:color="auto"/>
        <w:right w:val="none" w:sz="0" w:space="0" w:color="auto"/>
      </w:divBdr>
    </w:div>
    <w:div w:id="1021203359">
      <w:bodyDiv w:val="1"/>
      <w:marLeft w:val="0"/>
      <w:marRight w:val="0"/>
      <w:marTop w:val="0"/>
      <w:marBottom w:val="0"/>
      <w:divBdr>
        <w:top w:val="none" w:sz="0" w:space="0" w:color="auto"/>
        <w:left w:val="none" w:sz="0" w:space="0" w:color="auto"/>
        <w:bottom w:val="none" w:sz="0" w:space="0" w:color="auto"/>
        <w:right w:val="none" w:sz="0" w:space="0" w:color="auto"/>
      </w:divBdr>
      <w:divsChild>
        <w:div w:id="900794447">
          <w:marLeft w:val="0"/>
          <w:marRight w:val="0"/>
          <w:marTop w:val="0"/>
          <w:marBottom w:val="0"/>
          <w:divBdr>
            <w:top w:val="none" w:sz="0" w:space="0" w:color="auto"/>
            <w:left w:val="none" w:sz="0" w:space="0" w:color="auto"/>
            <w:bottom w:val="none" w:sz="0" w:space="0" w:color="auto"/>
            <w:right w:val="none" w:sz="0" w:space="0" w:color="auto"/>
          </w:divBdr>
          <w:divsChild>
            <w:div w:id="786194667">
              <w:marLeft w:val="0"/>
              <w:marRight w:val="0"/>
              <w:marTop w:val="0"/>
              <w:marBottom w:val="0"/>
              <w:divBdr>
                <w:top w:val="none" w:sz="0" w:space="0" w:color="auto"/>
                <w:left w:val="none" w:sz="0" w:space="0" w:color="auto"/>
                <w:bottom w:val="none" w:sz="0" w:space="0" w:color="auto"/>
                <w:right w:val="none" w:sz="0" w:space="0" w:color="auto"/>
              </w:divBdr>
              <w:divsChild>
                <w:div w:id="1077556235">
                  <w:marLeft w:val="0"/>
                  <w:marRight w:val="0"/>
                  <w:marTop w:val="0"/>
                  <w:marBottom w:val="0"/>
                  <w:divBdr>
                    <w:top w:val="none" w:sz="0" w:space="0" w:color="auto"/>
                    <w:left w:val="none" w:sz="0" w:space="0" w:color="auto"/>
                    <w:bottom w:val="none" w:sz="0" w:space="0" w:color="auto"/>
                    <w:right w:val="none" w:sz="0" w:space="0" w:color="auto"/>
                  </w:divBdr>
                  <w:divsChild>
                    <w:div w:id="16566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11589">
      <w:bodyDiv w:val="1"/>
      <w:marLeft w:val="0"/>
      <w:marRight w:val="0"/>
      <w:marTop w:val="0"/>
      <w:marBottom w:val="0"/>
      <w:divBdr>
        <w:top w:val="none" w:sz="0" w:space="0" w:color="auto"/>
        <w:left w:val="none" w:sz="0" w:space="0" w:color="auto"/>
        <w:bottom w:val="none" w:sz="0" w:space="0" w:color="auto"/>
        <w:right w:val="none" w:sz="0" w:space="0" w:color="auto"/>
      </w:divBdr>
    </w:div>
    <w:div w:id="1053425814">
      <w:bodyDiv w:val="1"/>
      <w:marLeft w:val="0"/>
      <w:marRight w:val="0"/>
      <w:marTop w:val="0"/>
      <w:marBottom w:val="0"/>
      <w:divBdr>
        <w:top w:val="none" w:sz="0" w:space="0" w:color="auto"/>
        <w:left w:val="none" w:sz="0" w:space="0" w:color="auto"/>
        <w:bottom w:val="none" w:sz="0" w:space="0" w:color="auto"/>
        <w:right w:val="none" w:sz="0" w:space="0" w:color="auto"/>
      </w:divBdr>
    </w:div>
    <w:div w:id="1075661427">
      <w:bodyDiv w:val="1"/>
      <w:marLeft w:val="0"/>
      <w:marRight w:val="0"/>
      <w:marTop w:val="0"/>
      <w:marBottom w:val="0"/>
      <w:divBdr>
        <w:top w:val="none" w:sz="0" w:space="0" w:color="auto"/>
        <w:left w:val="none" w:sz="0" w:space="0" w:color="auto"/>
        <w:bottom w:val="none" w:sz="0" w:space="0" w:color="auto"/>
        <w:right w:val="none" w:sz="0" w:space="0" w:color="auto"/>
      </w:divBdr>
    </w:div>
    <w:div w:id="1127315546">
      <w:bodyDiv w:val="1"/>
      <w:marLeft w:val="0"/>
      <w:marRight w:val="0"/>
      <w:marTop w:val="0"/>
      <w:marBottom w:val="0"/>
      <w:divBdr>
        <w:top w:val="none" w:sz="0" w:space="0" w:color="auto"/>
        <w:left w:val="none" w:sz="0" w:space="0" w:color="auto"/>
        <w:bottom w:val="none" w:sz="0" w:space="0" w:color="auto"/>
        <w:right w:val="none" w:sz="0" w:space="0" w:color="auto"/>
      </w:divBdr>
    </w:div>
    <w:div w:id="1166827188">
      <w:bodyDiv w:val="1"/>
      <w:marLeft w:val="0"/>
      <w:marRight w:val="0"/>
      <w:marTop w:val="0"/>
      <w:marBottom w:val="0"/>
      <w:divBdr>
        <w:top w:val="none" w:sz="0" w:space="0" w:color="auto"/>
        <w:left w:val="none" w:sz="0" w:space="0" w:color="auto"/>
        <w:bottom w:val="none" w:sz="0" w:space="0" w:color="auto"/>
        <w:right w:val="none" w:sz="0" w:space="0" w:color="auto"/>
      </w:divBdr>
      <w:divsChild>
        <w:div w:id="173807546">
          <w:marLeft w:val="0"/>
          <w:marRight w:val="0"/>
          <w:marTop w:val="0"/>
          <w:marBottom w:val="0"/>
          <w:divBdr>
            <w:top w:val="none" w:sz="0" w:space="0" w:color="auto"/>
            <w:left w:val="none" w:sz="0" w:space="0" w:color="auto"/>
            <w:bottom w:val="none" w:sz="0" w:space="0" w:color="auto"/>
            <w:right w:val="none" w:sz="0" w:space="0" w:color="auto"/>
          </w:divBdr>
          <w:divsChild>
            <w:div w:id="1148977579">
              <w:marLeft w:val="0"/>
              <w:marRight w:val="0"/>
              <w:marTop w:val="0"/>
              <w:marBottom w:val="0"/>
              <w:divBdr>
                <w:top w:val="none" w:sz="0" w:space="0" w:color="auto"/>
                <w:left w:val="none" w:sz="0" w:space="0" w:color="auto"/>
                <w:bottom w:val="none" w:sz="0" w:space="0" w:color="auto"/>
                <w:right w:val="none" w:sz="0" w:space="0" w:color="auto"/>
              </w:divBdr>
              <w:divsChild>
                <w:div w:id="6759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6733">
      <w:bodyDiv w:val="1"/>
      <w:marLeft w:val="0"/>
      <w:marRight w:val="0"/>
      <w:marTop w:val="0"/>
      <w:marBottom w:val="0"/>
      <w:divBdr>
        <w:top w:val="none" w:sz="0" w:space="0" w:color="auto"/>
        <w:left w:val="none" w:sz="0" w:space="0" w:color="auto"/>
        <w:bottom w:val="none" w:sz="0" w:space="0" w:color="auto"/>
        <w:right w:val="none" w:sz="0" w:space="0" w:color="auto"/>
      </w:divBdr>
    </w:div>
    <w:div w:id="1193301197">
      <w:bodyDiv w:val="1"/>
      <w:marLeft w:val="0"/>
      <w:marRight w:val="0"/>
      <w:marTop w:val="0"/>
      <w:marBottom w:val="0"/>
      <w:divBdr>
        <w:top w:val="none" w:sz="0" w:space="0" w:color="auto"/>
        <w:left w:val="none" w:sz="0" w:space="0" w:color="auto"/>
        <w:bottom w:val="none" w:sz="0" w:space="0" w:color="auto"/>
        <w:right w:val="none" w:sz="0" w:space="0" w:color="auto"/>
      </w:divBdr>
      <w:divsChild>
        <w:div w:id="1567063731">
          <w:marLeft w:val="0"/>
          <w:marRight w:val="0"/>
          <w:marTop w:val="0"/>
          <w:marBottom w:val="0"/>
          <w:divBdr>
            <w:top w:val="none" w:sz="0" w:space="0" w:color="auto"/>
            <w:left w:val="none" w:sz="0" w:space="0" w:color="auto"/>
            <w:bottom w:val="none" w:sz="0" w:space="0" w:color="auto"/>
            <w:right w:val="none" w:sz="0" w:space="0" w:color="auto"/>
          </w:divBdr>
          <w:divsChild>
            <w:div w:id="1568415652">
              <w:marLeft w:val="0"/>
              <w:marRight w:val="0"/>
              <w:marTop w:val="0"/>
              <w:marBottom w:val="0"/>
              <w:divBdr>
                <w:top w:val="none" w:sz="0" w:space="0" w:color="auto"/>
                <w:left w:val="none" w:sz="0" w:space="0" w:color="auto"/>
                <w:bottom w:val="none" w:sz="0" w:space="0" w:color="auto"/>
                <w:right w:val="none" w:sz="0" w:space="0" w:color="auto"/>
              </w:divBdr>
              <w:divsChild>
                <w:div w:id="18280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69353">
      <w:bodyDiv w:val="1"/>
      <w:marLeft w:val="0"/>
      <w:marRight w:val="0"/>
      <w:marTop w:val="0"/>
      <w:marBottom w:val="0"/>
      <w:divBdr>
        <w:top w:val="none" w:sz="0" w:space="0" w:color="auto"/>
        <w:left w:val="none" w:sz="0" w:space="0" w:color="auto"/>
        <w:bottom w:val="none" w:sz="0" w:space="0" w:color="auto"/>
        <w:right w:val="none" w:sz="0" w:space="0" w:color="auto"/>
      </w:divBdr>
    </w:div>
    <w:div w:id="1208954197">
      <w:bodyDiv w:val="1"/>
      <w:marLeft w:val="0"/>
      <w:marRight w:val="0"/>
      <w:marTop w:val="0"/>
      <w:marBottom w:val="0"/>
      <w:divBdr>
        <w:top w:val="none" w:sz="0" w:space="0" w:color="auto"/>
        <w:left w:val="none" w:sz="0" w:space="0" w:color="auto"/>
        <w:bottom w:val="none" w:sz="0" w:space="0" w:color="auto"/>
        <w:right w:val="none" w:sz="0" w:space="0" w:color="auto"/>
      </w:divBdr>
    </w:div>
    <w:div w:id="1222325811">
      <w:bodyDiv w:val="1"/>
      <w:marLeft w:val="0"/>
      <w:marRight w:val="0"/>
      <w:marTop w:val="0"/>
      <w:marBottom w:val="0"/>
      <w:divBdr>
        <w:top w:val="none" w:sz="0" w:space="0" w:color="auto"/>
        <w:left w:val="none" w:sz="0" w:space="0" w:color="auto"/>
        <w:bottom w:val="none" w:sz="0" w:space="0" w:color="auto"/>
        <w:right w:val="none" w:sz="0" w:space="0" w:color="auto"/>
      </w:divBdr>
    </w:div>
    <w:div w:id="1237741240">
      <w:bodyDiv w:val="1"/>
      <w:marLeft w:val="0"/>
      <w:marRight w:val="0"/>
      <w:marTop w:val="0"/>
      <w:marBottom w:val="0"/>
      <w:divBdr>
        <w:top w:val="none" w:sz="0" w:space="0" w:color="auto"/>
        <w:left w:val="none" w:sz="0" w:space="0" w:color="auto"/>
        <w:bottom w:val="none" w:sz="0" w:space="0" w:color="auto"/>
        <w:right w:val="none" w:sz="0" w:space="0" w:color="auto"/>
      </w:divBdr>
      <w:divsChild>
        <w:div w:id="169294981">
          <w:marLeft w:val="0"/>
          <w:marRight w:val="0"/>
          <w:marTop w:val="0"/>
          <w:marBottom w:val="0"/>
          <w:divBdr>
            <w:top w:val="none" w:sz="0" w:space="0" w:color="auto"/>
            <w:left w:val="none" w:sz="0" w:space="0" w:color="auto"/>
            <w:bottom w:val="none" w:sz="0" w:space="0" w:color="auto"/>
            <w:right w:val="none" w:sz="0" w:space="0" w:color="auto"/>
          </w:divBdr>
          <w:divsChild>
            <w:div w:id="616833003">
              <w:marLeft w:val="0"/>
              <w:marRight w:val="0"/>
              <w:marTop w:val="0"/>
              <w:marBottom w:val="0"/>
              <w:divBdr>
                <w:top w:val="none" w:sz="0" w:space="0" w:color="auto"/>
                <w:left w:val="none" w:sz="0" w:space="0" w:color="auto"/>
                <w:bottom w:val="none" w:sz="0" w:space="0" w:color="auto"/>
                <w:right w:val="none" w:sz="0" w:space="0" w:color="auto"/>
              </w:divBdr>
              <w:divsChild>
                <w:div w:id="1858076963">
                  <w:marLeft w:val="0"/>
                  <w:marRight w:val="0"/>
                  <w:marTop w:val="0"/>
                  <w:marBottom w:val="0"/>
                  <w:divBdr>
                    <w:top w:val="none" w:sz="0" w:space="0" w:color="auto"/>
                    <w:left w:val="none" w:sz="0" w:space="0" w:color="auto"/>
                    <w:bottom w:val="none" w:sz="0" w:space="0" w:color="auto"/>
                    <w:right w:val="none" w:sz="0" w:space="0" w:color="auto"/>
                  </w:divBdr>
                  <w:divsChild>
                    <w:div w:id="5247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71187">
      <w:bodyDiv w:val="1"/>
      <w:marLeft w:val="0"/>
      <w:marRight w:val="0"/>
      <w:marTop w:val="0"/>
      <w:marBottom w:val="0"/>
      <w:divBdr>
        <w:top w:val="none" w:sz="0" w:space="0" w:color="auto"/>
        <w:left w:val="none" w:sz="0" w:space="0" w:color="auto"/>
        <w:bottom w:val="none" w:sz="0" w:space="0" w:color="auto"/>
        <w:right w:val="none" w:sz="0" w:space="0" w:color="auto"/>
      </w:divBdr>
    </w:div>
    <w:div w:id="1299913926">
      <w:bodyDiv w:val="1"/>
      <w:marLeft w:val="0"/>
      <w:marRight w:val="0"/>
      <w:marTop w:val="0"/>
      <w:marBottom w:val="0"/>
      <w:divBdr>
        <w:top w:val="none" w:sz="0" w:space="0" w:color="auto"/>
        <w:left w:val="none" w:sz="0" w:space="0" w:color="auto"/>
        <w:bottom w:val="none" w:sz="0" w:space="0" w:color="auto"/>
        <w:right w:val="none" w:sz="0" w:space="0" w:color="auto"/>
      </w:divBdr>
    </w:div>
    <w:div w:id="1305504472">
      <w:bodyDiv w:val="1"/>
      <w:marLeft w:val="0"/>
      <w:marRight w:val="0"/>
      <w:marTop w:val="0"/>
      <w:marBottom w:val="0"/>
      <w:divBdr>
        <w:top w:val="none" w:sz="0" w:space="0" w:color="auto"/>
        <w:left w:val="none" w:sz="0" w:space="0" w:color="auto"/>
        <w:bottom w:val="none" w:sz="0" w:space="0" w:color="auto"/>
        <w:right w:val="none" w:sz="0" w:space="0" w:color="auto"/>
      </w:divBdr>
    </w:div>
    <w:div w:id="1312324900">
      <w:bodyDiv w:val="1"/>
      <w:marLeft w:val="0"/>
      <w:marRight w:val="0"/>
      <w:marTop w:val="0"/>
      <w:marBottom w:val="0"/>
      <w:divBdr>
        <w:top w:val="none" w:sz="0" w:space="0" w:color="auto"/>
        <w:left w:val="none" w:sz="0" w:space="0" w:color="auto"/>
        <w:bottom w:val="none" w:sz="0" w:space="0" w:color="auto"/>
        <w:right w:val="none" w:sz="0" w:space="0" w:color="auto"/>
      </w:divBdr>
    </w:div>
    <w:div w:id="1350450404">
      <w:bodyDiv w:val="1"/>
      <w:marLeft w:val="0"/>
      <w:marRight w:val="0"/>
      <w:marTop w:val="0"/>
      <w:marBottom w:val="0"/>
      <w:divBdr>
        <w:top w:val="none" w:sz="0" w:space="0" w:color="auto"/>
        <w:left w:val="none" w:sz="0" w:space="0" w:color="auto"/>
        <w:bottom w:val="none" w:sz="0" w:space="0" w:color="auto"/>
        <w:right w:val="none" w:sz="0" w:space="0" w:color="auto"/>
      </w:divBdr>
    </w:div>
    <w:div w:id="1391075183">
      <w:bodyDiv w:val="1"/>
      <w:marLeft w:val="0"/>
      <w:marRight w:val="0"/>
      <w:marTop w:val="0"/>
      <w:marBottom w:val="0"/>
      <w:divBdr>
        <w:top w:val="none" w:sz="0" w:space="0" w:color="auto"/>
        <w:left w:val="none" w:sz="0" w:space="0" w:color="auto"/>
        <w:bottom w:val="none" w:sz="0" w:space="0" w:color="auto"/>
        <w:right w:val="none" w:sz="0" w:space="0" w:color="auto"/>
      </w:divBdr>
      <w:divsChild>
        <w:div w:id="181431402">
          <w:marLeft w:val="0"/>
          <w:marRight w:val="0"/>
          <w:marTop w:val="0"/>
          <w:marBottom w:val="0"/>
          <w:divBdr>
            <w:top w:val="none" w:sz="0" w:space="0" w:color="auto"/>
            <w:left w:val="none" w:sz="0" w:space="0" w:color="auto"/>
            <w:bottom w:val="none" w:sz="0" w:space="0" w:color="auto"/>
            <w:right w:val="none" w:sz="0" w:space="0" w:color="auto"/>
          </w:divBdr>
          <w:divsChild>
            <w:div w:id="1072049749">
              <w:marLeft w:val="0"/>
              <w:marRight w:val="0"/>
              <w:marTop w:val="0"/>
              <w:marBottom w:val="0"/>
              <w:divBdr>
                <w:top w:val="none" w:sz="0" w:space="0" w:color="auto"/>
                <w:left w:val="none" w:sz="0" w:space="0" w:color="auto"/>
                <w:bottom w:val="none" w:sz="0" w:space="0" w:color="auto"/>
                <w:right w:val="none" w:sz="0" w:space="0" w:color="auto"/>
              </w:divBdr>
              <w:divsChild>
                <w:div w:id="2185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9329">
      <w:bodyDiv w:val="1"/>
      <w:marLeft w:val="0"/>
      <w:marRight w:val="0"/>
      <w:marTop w:val="0"/>
      <w:marBottom w:val="0"/>
      <w:divBdr>
        <w:top w:val="none" w:sz="0" w:space="0" w:color="auto"/>
        <w:left w:val="none" w:sz="0" w:space="0" w:color="auto"/>
        <w:bottom w:val="none" w:sz="0" w:space="0" w:color="auto"/>
        <w:right w:val="none" w:sz="0" w:space="0" w:color="auto"/>
      </w:divBdr>
    </w:div>
    <w:div w:id="1584337600">
      <w:bodyDiv w:val="1"/>
      <w:marLeft w:val="0"/>
      <w:marRight w:val="0"/>
      <w:marTop w:val="0"/>
      <w:marBottom w:val="0"/>
      <w:divBdr>
        <w:top w:val="none" w:sz="0" w:space="0" w:color="auto"/>
        <w:left w:val="none" w:sz="0" w:space="0" w:color="auto"/>
        <w:bottom w:val="none" w:sz="0" w:space="0" w:color="auto"/>
        <w:right w:val="none" w:sz="0" w:space="0" w:color="auto"/>
      </w:divBdr>
    </w:div>
    <w:div w:id="1595361084">
      <w:bodyDiv w:val="1"/>
      <w:marLeft w:val="0"/>
      <w:marRight w:val="0"/>
      <w:marTop w:val="0"/>
      <w:marBottom w:val="0"/>
      <w:divBdr>
        <w:top w:val="none" w:sz="0" w:space="0" w:color="auto"/>
        <w:left w:val="none" w:sz="0" w:space="0" w:color="auto"/>
        <w:bottom w:val="none" w:sz="0" w:space="0" w:color="auto"/>
        <w:right w:val="none" w:sz="0" w:space="0" w:color="auto"/>
      </w:divBdr>
      <w:divsChild>
        <w:div w:id="403798514">
          <w:marLeft w:val="0"/>
          <w:marRight w:val="0"/>
          <w:marTop w:val="0"/>
          <w:marBottom w:val="0"/>
          <w:divBdr>
            <w:top w:val="none" w:sz="0" w:space="0" w:color="auto"/>
            <w:left w:val="none" w:sz="0" w:space="0" w:color="auto"/>
            <w:bottom w:val="none" w:sz="0" w:space="0" w:color="auto"/>
            <w:right w:val="none" w:sz="0" w:space="0" w:color="auto"/>
          </w:divBdr>
          <w:divsChild>
            <w:div w:id="1536305225">
              <w:marLeft w:val="0"/>
              <w:marRight w:val="0"/>
              <w:marTop w:val="0"/>
              <w:marBottom w:val="0"/>
              <w:divBdr>
                <w:top w:val="none" w:sz="0" w:space="0" w:color="auto"/>
                <w:left w:val="none" w:sz="0" w:space="0" w:color="auto"/>
                <w:bottom w:val="none" w:sz="0" w:space="0" w:color="auto"/>
                <w:right w:val="none" w:sz="0" w:space="0" w:color="auto"/>
              </w:divBdr>
              <w:divsChild>
                <w:div w:id="243800785">
                  <w:marLeft w:val="0"/>
                  <w:marRight w:val="0"/>
                  <w:marTop w:val="0"/>
                  <w:marBottom w:val="0"/>
                  <w:divBdr>
                    <w:top w:val="none" w:sz="0" w:space="0" w:color="auto"/>
                    <w:left w:val="none" w:sz="0" w:space="0" w:color="auto"/>
                    <w:bottom w:val="none" w:sz="0" w:space="0" w:color="auto"/>
                    <w:right w:val="none" w:sz="0" w:space="0" w:color="auto"/>
                  </w:divBdr>
                  <w:divsChild>
                    <w:div w:id="10499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93708">
      <w:bodyDiv w:val="1"/>
      <w:marLeft w:val="0"/>
      <w:marRight w:val="0"/>
      <w:marTop w:val="0"/>
      <w:marBottom w:val="0"/>
      <w:divBdr>
        <w:top w:val="none" w:sz="0" w:space="0" w:color="auto"/>
        <w:left w:val="none" w:sz="0" w:space="0" w:color="auto"/>
        <w:bottom w:val="none" w:sz="0" w:space="0" w:color="auto"/>
        <w:right w:val="none" w:sz="0" w:space="0" w:color="auto"/>
      </w:divBdr>
    </w:div>
    <w:div w:id="1653414271">
      <w:bodyDiv w:val="1"/>
      <w:marLeft w:val="0"/>
      <w:marRight w:val="0"/>
      <w:marTop w:val="0"/>
      <w:marBottom w:val="0"/>
      <w:divBdr>
        <w:top w:val="none" w:sz="0" w:space="0" w:color="auto"/>
        <w:left w:val="none" w:sz="0" w:space="0" w:color="auto"/>
        <w:bottom w:val="none" w:sz="0" w:space="0" w:color="auto"/>
        <w:right w:val="none" w:sz="0" w:space="0" w:color="auto"/>
      </w:divBdr>
    </w:div>
    <w:div w:id="1672365291">
      <w:bodyDiv w:val="1"/>
      <w:marLeft w:val="0"/>
      <w:marRight w:val="0"/>
      <w:marTop w:val="0"/>
      <w:marBottom w:val="0"/>
      <w:divBdr>
        <w:top w:val="none" w:sz="0" w:space="0" w:color="auto"/>
        <w:left w:val="none" w:sz="0" w:space="0" w:color="auto"/>
        <w:bottom w:val="none" w:sz="0" w:space="0" w:color="auto"/>
        <w:right w:val="none" w:sz="0" w:space="0" w:color="auto"/>
      </w:divBdr>
    </w:div>
    <w:div w:id="1873150233">
      <w:bodyDiv w:val="1"/>
      <w:marLeft w:val="0"/>
      <w:marRight w:val="0"/>
      <w:marTop w:val="0"/>
      <w:marBottom w:val="0"/>
      <w:divBdr>
        <w:top w:val="none" w:sz="0" w:space="0" w:color="auto"/>
        <w:left w:val="none" w:sz="0" w:space="0" w:color="auto"/>
        <w:bottom w:val="none" w:sz="0" w:space="0" w:color="auto"/>
        <w:right w:val="none" w:sz="0" w:space="0" w:color="auto"/>
      </w:divBdr>
    </w:div>
    <w:div w:id="1877307083">
      <w:bodyDiv w:val="1"/>
      <w:marLeft w:val="0"/>
      <w:marRight w:val="0"/>
      <w:marTop w:val="0"/>
      <w:marBottom w:val="0"/>
      <w:divBdr>
        <w:top w:val="none" w:sz="0" w:space="0" w:color="auto"/>
        <w:left w:val="none" w:sz="0" w:space="0" w:color="auto"/>
        <w:bottom w:val="none" w:sz="0" w:space="0" w:color="auto"/>
        <w:right w:val="none" w:sz="0" w:space="0" w:color="auto"/>
      </w:divBdr>
    </w:div>
    <w:div w:id="1981568032">
      <w:bodyDiv w:val="1"/>
      <w:marLeft w:val="0"/>
      <w:marRight w:val="0"/>
      <w:marTop w:val="0"/>
      <w:marBottom w:val="0"/>
      <w:divBdr>
        <w:top w:val="none" w:sz="0" w:space="0" w:color="auto"/>
        <w:left w:val="none" w:sz="0" w:space="0" w:color="auto"/>
        <w:bottom w:val="none" w:sz="0" w:space="0" w:color="auto"/>
        <w:right w:val="none" w:sz="0" w:space="0" w:color="auto"/>
      </w:divBdr>
      <w:divsChild>
        <w:div w:id="448277236">
          <w:marLeft w:val="0"/>
          <w:marRight w:val="0"/>
          <w:marTop w:val="0"/>
          <w:marBottom w:val="0"/>
          <w:divBdr>
            <w:top w:val="none" w:sz="0" w:space="0" w:color="auto"/>
            <w:left w:val="none" w:sz="0" w:space="0" w:color="auto"/>
            <w:bottom w:val="none" w:sz="0" w:space="0" w:color="auto"/>
            <w:right w:val="none" w:sz="0" w:space="0" w:color="auto"/>
          </w:divBdr>
          <w:divsChild>
            <w:div w:id="64888248">
              <w:marLeft w:val="0"/>
              <w:marRight w:val="0"/>
              <w:marTop w:val="0"/>
              <w:marBottom w:val="0"/>
              <w:divBdr>
                <w:top w:val="none" w:sz="0" w:space="0" w:color="auto"/>
                <w:left w:val="none" w:sz="0" w:space="0" w:color="auto"/>
                <w:bottom w:val="none" w:sz="0" w:space="0" w:color="auto"/>
                <w:right w:val="none" w:sz="0" w:space="0" w:color="auto"/>
              </w:divBdr>
              <w:divsChild>
                <w:div w:id="3376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4529">
      <w:bodyDiv w:val="1"/>
      <w:marLeft w:val="0"/>
      <w:marRight w:val="0"/>
      <w:marTop w:val="0"/>
      <w:marBottom w:val="0"/>
      <w:divBdr>
        <w:top w:val="none" w:sz="0" w:space="0" w:color="auto"/>
        <w:left w:val="none" w:sz="0" w:space="0" w:color="auto"/>
        <w:bottom w:val="none" w:sz="0" w:space="0" w:color="auto"/>
        <w:right w:val="none" w:sz="0" w:space="0" w:color="auto"/>
      </w:divBdr>
      <w:divsChild>
        <w:div w:id="291056349">
          <w:marLeft w:val="0"/>
          <w:marRight w:val="0"/>
          <w:marTop w:val="0"/>
          <w:marBottom w:val="0"/>
          <w:divBdr>
            <w:top w:val="none" w:sz="0" w:space="0" w:color="auto"/>
            <w:left w:val="none" w:sz="0" w:space="0" w:color="auto"/>
            <w:bottom w:val="none" w:sz="0" w:space="0" w:color="auto"/>
            <w:right w:val="none" w:sz="0" w:space="0" w:color="auto"/>
          </w:divBdr>
        </w:div>
      </w:divsChild>
    </w:div>
    <w:div w:id="2055931308">
      <w:bodyDiv w:val="1"/>
      <w:marLeft w:val="0"/>
      <w:marRight w:val="0"/>
      <w:marTop w:val="0"/>
      <w:marBottom w:val="0"/>
      <w:divBdr>
        <w:top w:val="none" w:sz="0" w:space="0" w:color="auto"/>
        <w:left w:val="none" w:sz="0" w:space="0" w:color="auto"/>
        <w:bottom w:val="none" w:sz="0" w:space="0" w:color="auto"/>
        <w:right w:val="none" w:sz="0" w:space="0" w:color="auto"/>
      </w:divBdr>
      <w:divsChild>
        <w:div w:id="1351221258">
          <w:marLeft w:val="0"/>
          <w:marRight w:val="0"/>
          <w:marTop w:val="0"/>
          <w:marBottom w:val="0"/>
          <w:divBdr>
            <w:top w:val="none" w:sz="0" w:space="0" w:color="auto"/>
            <w:left w:val="none" w:sz="0" w:space="0" w:color="auto"/>
            <w:bottom w:val="none" w:sz="0" w:space="0" w:color="auto"/>
            <w:right w:val="none" w:sz="0" w:space="0" w:color="auto"/>
          </w:divBdr>
        </w:div>
        <w:div w:id="2033528108">
          <w:marLeft w:val="0"/>
          <w:marRight w:val="0"/>
          <w:marTop w:val="0"/>
          <w:marBottom w:val="0"/>
          <w:divBdr>
            <w:top w:val="none" w:sz="0" w:space="0" w:color="auto"/>
            <w:left w:val="none" w:sz="0" w:space="0" w:color="auto"/>
            <w:bottom w:val="none" w:sz="0" w:space="0" w:color="auto"/>
            <w:right w:val="none" w:sz="0" w:space="0" w:color="auto"/>
          </w:divBdr>
        </w:div>
      </w:divsChild>
    </w:div>
    <w:div w:id="2061200121">
      <w:bodyDiv w:val="1"/>
      <w:marLeft w:val="0"/>
      <w:marRight w:val="0"/>
      <w:marTop w:val="0"/>
      <w:marBottom w:val="0"/>
      <w:divBdr>
        <w:top w:val="none" w:sz="0" w:space="0" w:color="auto"/>
        <w:left w:val="none" w:sz="0" w:space="0" w:color="auto"/>
        <w:bottom w:val="none" w:sz="0" w:space="0" w:color="auto"/>
        <w:right w:val="none" w:sz="0" w:space="0" w:color="auto"/>
      </w:divBdr>
    </w:div>
    <w:div w:id="2106341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colecon.2018.12.016" TargetMode="External"/><Relationship Id="rId13" Type="http://schemas.openxmlformats.org/officeDocument/2006/relationships/hyperlink" Target="https://www.rita.dot.gov/bts/sites/rita.dot.gov.bts/files/publications/national_transportation_statistics/html/table_04_23.html" TargetMode="External"/><Relationship Id="rId18" Type="http://schemas.openxmlformats.org/officeDocument/2006/relationships/hyperlink" Target="https://ec.europa.eu/transport/sites/transport/files/pocketbook2017.pdf" TargetMode="External"/><Relationship Id="rId26" Type="http://schemas.openxmlformats.org/officeDocument/2006/relationships/hyperlink" Target="https://www.epa.gov/environmental-economics/mortality-risk-valuation"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eea.europa.eu/themes/human/noise/noise-2" TargetMode="External"/><Relationship Id="rId34" Type="http://schemas.openxmlformats.org/officeDocument/2006/relationships/hyperlink" Target="http://bca.transportationeconomics.org/home/when-to-use-benefit-cost-analysi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eens-efa.eu/fileadmin/dam/Documents/Studies/Costs_of_cars/The_true_costs_of_cars_EN.pdf" TargetMode="External"/><Relationship Id="rId17" Type="http://schemas.openxmlformats.org/officeDocument/2006/relationships/hyperlink" Target="https://ec.europa.eu/transport/facts-fundings/statistics/pocketbook-2012_nl" TargetMode="External"/><Relationship Id="rId25" Type="http://schemas.openxmlformats.org/officeDocument/2006/relationships/hyperlink" Target="https://www.epa.gov/environmental-economics/guidelines-preparing-economic-analyses" TargetMode="External"/><Relationship Id="rId33" Type="http://schemas.openxmlformats.org/officeDocument/2006/relationships/hyperlink" Target="http://www.thelancet.com/commissions/pollution-and-health" TargetMode="External"/><Relationship Id="rId38" Type="http://schemas.openxmlformats.org/officeDocument/2006/relationships/hyperlink" Target="http://www.who.int/violence_injury_prevention/road_safety_status/2015/en/" TargetMode="External"/><Relationship Id="rId2" Type="http://schemas.openxmlformats.org/officeDocument/2006/relationships/styles" Target="styles.xml"/><Relationship Id="rId16" Type="http://schemas.openxmlformats.org/officeDocument/2006/relationships/hyperlink" Target="http://files.meetup.com/1468133/LCAwhitepaper.pdf" TargetMode="External"/><Relationship Id="rId20" Type="http://schemas.openxmlformats.org/officeDocument/2006/relationships/hyperlink" Target="https://www.eea.europa.eu/publications/air-quality-in-europe-2017" TargetMode="External"/><Relationship Id="rId29" Type="http://schemas.openxmlformats.org/officeDocument/2006/relationships/hyperlink" Target="http://www.eea.europa.eu/data-and-maps/indicators/external-costs-of-transport-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dac.de/infotestrat/autodatenbank/autokosten/top-10-autokosten/default.aspx?ComponentId=35261&amp;SourcePageId=0" TargetMode="External"/><Relationship Id="rId24" Type="http://schemas.openxmlformats.org/officeDocument/2006/relationships/hyperlink" Target="https://www.eia.gov/outlooks/ieo/pdf/0484(2017).pdf" TargetMode="External"/><Relationship Id="rId32" Type="http://schemas.openxmlformats.org/officeDocument/2006/relationships/hyperlink" Target="https://ec.europa.eu/transport/sites/transport/files/handbook_on_external_costs_of_transport_2014_0.pdf" TargetMode="External"/><Relationship Id="rId37" Type="http://schemas.openxmlformats.org/officeDocument/2006/relationships/hyperlink" Target="http://www.vtpi.org/tca/tca02.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k.dk" TargetMode="External"/><Relationship Id="rId23" Type="http://schemas.openxmlformats.org/officeDocument/2006/relationships/hyperlink" Target="https://www.eea.europa.eu/publications/foundations-for-greener-transport" TargetMode="External"/><Relationship Id="rId28" Type="http://schemas.openxmlformats.org/officeDocument/2006/relationships/hyperlink" Target="http://ec.europa.eu/transport/themes/sustainable/studies/doc/2014-handbook-external-costs-transport.pdf" TargetMode="External"/><Relationship Id="rId36" Type="http://schemas.openxmlformats.org/officeDocument/2006/relationships/hyperlink" Target="http://www.umweltbundesamt.at/fileadmin/site/publikationen/REP0622.pdf" TargetMode="External"/><Relationship Id="rId10" Type="http://schemas.openxmlformats.org/officeDocument/2006/relationships/hyperlink" Target="http://www.oanda.com)" TargetMode="External"/><Relationship Id="rId19" Type="http://schemas.openxmlformats.org/officeDocument/2006/relationships/hyperlink" Target="https://www.eea.europa.eu/downloads/90455cbdfeff89c2c6149387ee11e4ea/1441389594/occupancy-rates-of-passenger-vehicles-1.pdf?direct=1" TargetMode="External"/><Relationship Id="rId31" Type="http://schemas.openxmlformats.org/officeDocument/2006/relationships/hyperlink" Target="https://www.eia.gov/outlooks/ieo/pdf/transportation.pdf" TargetMode="External"/><Relationship Id="rId4" Type="http://schemas.openxmlformats.org/officeDocument/2006/relationships/settings" Target="settings.xml"/><Relationship Id="rId9" Type="http://schemas.openxmlformats.org/officeDocument/2006/relationships/hyperlink" Target="https://www.bls.gov/data/inflation_calculator.htm" TargetMode="External"/><Relationship Id="rId14" Type="http://schemas.openxmlformats.org/officeDocument/2006/relationships/hyperlink" Target="http://ecocalc-test.ecotransit.org/CE_Delft_4215_External_Costs_of_Transport_in_Europe_def.pdf%20Accessed%201%20May%202014" TargetMode="External"/><Relationship Id="rId22" Type="http://schemas.openxmlformats.org/officeDocument/2006/relationships/hyperlink" Target="https://www.eea.europa.eu/data-and-maps/indicators/eea32-heavy-metal-hm-emissions-1/assessment-8" TargetMode="External"/><Relationship Id="rId27" Type="http://schemas.openxmlformats.org/officeDocument/2006/relationships/hyperlink" Target="http://ec.europa.eu/regional_policy/sources/docgener/studies/pdf/cba_guide.pdf.%20Accessed%2016%20November%202017" TargetMode="External"/><Relationship Id="rId30" Type="http://schemas.openxmlformats.org/officeDocument/2006/relationships/hyperlink" Target="https://www.iea.org/publications/freepublications/publication/TransportInfrastructureInsights_FINAL_WEB.pdf" TargetMode="External"/><Relationship Id="rId35" Type="http://schemas.openxmlformats.org/officeDocument/2006/relationships/hyperlink" Target="https://www.trm.dk/da/temaer/ny-cykelstrategi-2013/arbejdspapirer-og-arbejdsgrupp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56</Pages>
  <Words>14717</Words>
  <Characters>80945</Characters>
  <Application>Microsoft Office Word</Application>
  <DocSecurity>0</DocSecurity>
  <Lines>674</Lines>
  <Paragraphs>190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LNU</Company>
  <LinksUpToDate>false</LinksUpToDate>
  <CharactersWithSpaces>95472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Gössling</dc:creator>
  <cp:keywords/>
  <dc:description/>
  <cp:lastModifiedBy>Matthias Floor</cp:lastModifiedBy>
  <cp:revision>3</cp:revision>
  <cp:lastPrinted>2019-09-23T11:11:00Z</cp:lastPrinted>
  <dcterms:created xsi:type="dcterms:W3CDTF">2019-01-09T05:13:00Z</dcterms:created>
  <dcterms:modified xsi:type="dcterms:W3CDTF">2019-09-23T14:44:00Z</dcterms:modified>
</cp:coreProperties>
</file>